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F3" w:rsidRDefault="00D274F3" w:rsidP="00D274F3">
      <w:pPr>
        <w:rPr>
          <w:b/>
        </w:rPr>
      </w:pPr>
      <w:r>
        <w:rPr>
          <w:b/>
        </w:rPr>
        <w:t>Cabinet</w:t>
      </w:r>
    </w:p>
    <w:p w:rsidR="00D274F3" w:rsidRDefault="00D274F3" w:rsidP="00D274F3">
      <w:r>
        <w:t>Meeting to be held on 26 November 2015</w:t>
      </w:r>
    </w:p>
    <w:p w:rsidR="00D274F3" w:rsidRDefault="00D274F3" w:rsidP="00D274F3">
      <w:pPr>
        <w:rPr>
          <w:b/>
        </w:rPr>
      </w:pPr>
      <w:r>
        <w:rPr>
          <w:b/>
        </w:rPr>
        <w:t>Report of the Head of Wellbeing, Prevention and Early Help Service</w:t>
      </w:r>
    </w:p>
    <w:p w:rsidR="00D274F3" w:rsidRDefault="00D274F3" w:rsidP="00D274F3"/>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D274F3" w:rsidTr="007B44D0">
        <w:tc>
          <w:tcPr>
            <w:tcW w:w="3402" w:type="dxa"/>
          </w:tcPr>
          <w:p w:rsidR="00D274F3" w:rsidRDefault="00D274F3" w:rsidP="007B44D0">
            <w:pPr>
              <w:pStyle w:val="BodyText"/>
            </w:pPr>
            <w:r>
              <w:t>Electoral Division affected:</w:t>
            </w:r>
          </w:p>
          <w:p w:rsidR="00D274F3" w:rsidRDefault="00D274F3" w:rsidP="007B44D0">
            <w:pPr>
              <w:ind w:right="-250"/>
              <w:rPr>
                <w:u w:val="single"/>
              </w:rPr>
            </w:pPr>
            <w:r>
              <w:t>All</w:t>
            </w:r>
          </w:p>
        </w:tc>
      </w:tr>
    </w:tbl>
    <w:p w:rsidR="00D274F3" w:rsidRDefault="00D274F3" w:rsidP="00D274F3">
      <w:pPr>
        <w:rPr>
          <w:b/>
          <w:u w:val="single"/>
        </w:rPr>
      </w:pPr>
    </w:p>
    <w:p w:rsidR="00D274F3" w:rsidRDefault="00D274F3" w:rsidP="00D274F3">
      <w:pPr>
        <w:autoSpaceDE w:val="0"/>
        <w:autoSpaceDN w:val="0"/>
        <w:adjustRightInd w:val="0"/>
        <w:ind w:right="-23"/>
        <w:rPr>
          <w:rFonts w:cs="Arial"/>
          <w:b/>
          <w:szCs w:val="24"/>
        </w:rPr>
      </w:pPr>
      <w:r>
        <w:rPr>
          <w:b/>
        </w:rPr>
        <w:t xml:space="preserve">Proposals for </w:t>
      </w:r>
      <w:r>
        <w:rPr>
          <w:rFonts w:cs="Arial"/>
          <w:b/>
          <w:szCs w:val="24"/>
        </w:rPr>
        <w:t>T</w:t>
      </w:r>
      <w:r w:rsidRPr="009453D0">
        <w:rPr>
          <w:rFonts w:cs="Arial"/>
          <w:b/>
          <w:szCs w:val="24"/>
        </w:rPr>
        <w:t xml:space="preserve">ransforming </w:t>
      </w:r>
      <w:r>
        <w:rPr>
          <w:rFonts w:cs="Arial"/>
          <w:b/>
          <w:szCs w:val="24"/>
        </w:rPr>
        <w:t xml:space="preserve">Wellbeing, </w:t>
      </w:r>
      <w:r w:rsidRPr="009453D0">
        <w:rPr>
          <w:rFonts w:cs="Arial"/>
          <w:b/>
          <w:szCs w:val="24"/>
        </w:rPr>
        <w:t xml:space="preserve">Prevention and Early Help Services </w:t>
      </w:r>
      <w:r>
        <w:rPr>
          <w:rFonts w:cs="Arial"/>
          <w:b/>
          <w:szCs w:val="24"/>
        </w:rPr>
        <w:t xml:space="preserve">for Children, Young People and Families </w:t>
      </w:r>
      <w:r w:rsidRPr="009453D0">
        <w:rPr>
          <w:rFonts w:cs="Arial"/>
          <w:b/>
          <w:szCs w:val="24"/>
        </w:rPr>
        <w:t>in Lancashire</w:t>
      </w:r>
    </w:p>
    <w:p w:rsidR="00D274F3" w:rsidRDefault="00D274F3" w:rsidP="00D274F3">
      <w:pPr>
        <w:ind w:left="709" w:hanging="709"/>
      </w:pPr>
      <w:r>
        <w:t>(Appendices 'A' and 'B' refer)</w:t>
      </w:r>
    </w:p>
    <w:p w:rsidR="00D274F3" w:rsidRDefault="00D274F3" w:rsidP="00D274F3">
      <w:pPr>
        <w:ind w:left="709" w:hanging="709"/>
        <w:rPr>
          <w:b/>
        </w:rPr>
      </w:pPr>
    </w:p>
    <w:p w:rsidR="00D274F3" w:rsidRDefault="00D274F3" w:rsidP="00D274F3">
      <w:pPr>
        <w:ind w:right="-873"/>
      </w:pPr>
      <w:r>
        <w:t xml:space="preserve">Contact for further information: </w:t>
      </w:r>
    </w:p>
    <w:p w:rsidR="00D274F3" w:rsidRDefault="00D274F3" w:rsidP="00D274F3">
      <w:pPr>
        <w:ind w:right="-873"/>
      </w:pPr>
      <w:r>
        <w:t xml:space="preserve">Debbie Duffell, (07854) 581367, Head of Wellbeing, Prevention and Early Help Service, </w:t>
      </w:r>
    </w:p>
    <w:p w:rsidR="00D274F3" w:rsidRDefault="00D274F3" w:rsidP="00D274F3">
      <w:pPr>
        <w:ind w:right="-873"/>
      </w:pPr>
      <w:r>
        <w:t>Debbie.Duffell@lancashire.gov.uk</w:t>
      </w:r>
    </w:p>
    <w:p w:rsidR="00D274F3" w:rsidRDefault="00D274F3" w:rsidP="00D274F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74F3" w:rsidTr="007B44D0">
        <w:tc>
          <w:tcPr>
            <w:tcW w:w="9180" w:type="dxa"/>
          </w:tcPr>
          <w:p w:rsidR="00D274F3" w:rsidRDefault="00D274F3" w:rsidP="007B44D0">
            <w:pPr>
              <w:rPr>
                <w:b/>
                <w:u w:val="single"/>
              </w:rPr>
            </w:pPr>
          </w:p>
          <w:p w:rsidR="00D274F3" w:rsidRDefault="00D274F3" w:rsidP="007B44D0">
            <w:pPr>
              <w:pStyle w:val="Heading6"/>
              <w:rPr>
                <w:rFonts w:ascii="Arial" w:hAnsi="Arial"/>
              </w:rPr>
            </w:pPr>
            <w:r>
              <w:rPr>
                <w:rFonts w:ascii="Arial" w:hAnsi="Arial"/>
              </w:rPr>
              <w:t>Executive Summary</w:t>
            </w:r>
          </w:p>
          <w:p w:rsidR="00D274F3" w:rsidRDefault="00D274F3" w:rsidP="007B44D0">
            <w:pPr>
              <w:rPr>
                <w:b/>
              </w:rPr>
            </w:pPr>
          </w:p>
          <w:p w:rsidR="00D274F3" w:rsidRPr="00314783" w:rsidRDefault="00D274F3" w:rsidP="007B44D0">
            <w:pPr>
              <w:autoSpaceDE w:val="0"/>
              <w:autoSpaceDN w:val="0"/>
              <w:adjustRightInd w:val="0"/>
              <w:rPr>
                <w:rFonts w:cs="Arial"/>
                <w:szCs w:val="24"/>
              </w:rPr>
            </w:pPr>
            <w:r>
              <w:t xml:space="preserve">This paper describes the </w:t>
            </w:r>
            <w:r w:rsidRPr="00843542">
              <w:t xml:space="preserve">implementation plan of the service offer proposals presented to Cabinet in February 2015.  It includes a description of the current state of the services to be integrated and proposes a future service model to be delivered within a revised </w:t>
            </w:r>
            <w:r w:rsidRPr="00314783">
              <w:rPr>
                <w:rFonts w:cs="Arial"/>
              </w:rPr>
              <w:t>financial envelope of £17,230,000.  This represents a £7.4million budget saving by 2017/18, based on current services spend (2015/16).  The paper outlines the service delivery model proposal</w:t>
            </w:r>
            <w:r w:rsidRPr="00314783">
              <w:rPr>
                <w:rFonts w:cs="Arial"/>
                <w:szCs w:val="24"/>
              </w:rPr>
              <w:t xml:space="preserve"> to transform and fully integrate a range of services within Wellbeing, Prevention and Early Help Service (WPEHS)</w:t>
            </w:r>
            <w:r w:rsidRPr="00314783">
              <w:rPr>
                <w:rFonts w:cs="Arial"/>
              </w:rPr>
              <w:t>, which will be implemented subject to consultation. The</w:t>
            </w:r>
            <w:r w:rsidRPr="00314783">
              <w:rPr>
                <w:rFonts w:cs="Arial"/>
                <w:szCs w:val="24"/>
              </w:rPr>
              <w:t xml:space="preserve"> resultant integrated delivery model will align existing core offers for Children's Centres, Young People's Provision, Prevention and Early Help and Lancashire's response to the national Troubled Families Unit national programme.  </w:t>
            </w:r>
          </w:p>
          <w:p w:rsidR="00D274F3" w:rsidRPr="00314783" w:rsidRDefault="00D274F3" w:rsidP="007B44D0">
            <w:pPr>
              <w:autoSpaceDE w:val="0"/>
              <w:autoSpaceDN w:val="0"/>
              <w:adjustRightInd w:val="0"/>
              <w:rPr>
                <w:rFonts w:cs="Arial"/>
                <w:szCs w:val="24"/>
              </w:rPr>
            </w:pPr>
          </w:p>
          <w:p w:rsidR="00D274F3" w:rsidRPr="00314783" w:rsidRDefault="00D274F3" w:rsidP="007B44D0">
            <w:pPr>
              <w:autoSpaceDE w:val="0"/>
              <w:autoSpaceDN w:val="0"/>
              <w:adjustRightInd w:val="0"/>
              <w:rPr>
                <w:rFonts w:cs="Arial"/>
                <w:szCs w:val="24"/>
              </w:rPr>
            </w:pPr>
            <w:r w:rsidRPr="00314783">
              <w:rPr>
                <w:rFonts w:cs="Arial"/>
                <w:szCs w:val="24"/>
              </w:rPr>
              <w:t>This will ensure effective delivery of a wide range of support across the 0 -19yrs+ age range within the context of a whole family response.  This will also galvanise Lancashire's strategic approach to Wellbeing, Prevention and Early Help, strongly contribute to the delivery of Public Health responsibilities.</w:t>
            </w:r>
          </w:p>
          <w:p w:rsidR="00D274F3" w:rsidRPr="00314783" w:rsidRDefault="00D274F3" w:rsidP="007B44D0">
            <w:pPr>
              <w:autoSpaceDE w:val="0"/>
              <w:autoSpaceDN w:val="0"/>
              <w:adjustRightInd w:val="0"/>
              <w:ind w:right="-23"/>
              <w:rPr>
                <w:rFonts w:cs="Arial"/>
                <w:szCs w:val="24"/>
              </w:rPr>
            </w:pPr>
          </w:p>
          <w:p w:rsidR="00D274F3" w:rsidRDefault="00D274F3" w:rsidP="007B44D0">
            <w:pPr>
              <w:autoSpaceDE w:val="0"/>
              <w:autoSpaceDN w:val="0"/>
              <w:adjustRightInd w:val="0"/>
              <w:rPr>
                <w:rFonts w:cs="Arial"/>
                <w:szCs w:val="24"/>
              </w:rPr>
            </w:pPr>
            <w:r w:rsidRPr="00314783">
              <w:rPr>
                <w:rFonts w:cs="Arial"/>
                <w:szCs w:val="24"/>
              </w:rPr>
              <w:t>The proposal further aligns with the ongoing re-procurement of Public Health services and there will be future opportunities</w:t>
            </w:r>
            <w:r>
              <w:rPr>
                <w:rFonts w:cs="Arial"/>
                <w:szCs w:val="24"/>
              </w:rPr>
              <w:t xml:space="preserve"> to consider the integration of other services like Health Visiting and School Nursing Services, alongside other wider Council Services.</w:t>
            </w:r>
          </w:p>
          <w:p w:rsidR="00D274F3" w:rsidRDefault="00D274F3" w:rsidP="007B44D0">
            <w:pPr>
              <w:rPr>
                <w:b/>
              </w:rPr>
            </w:pPr>
          </w:p>
          <w:p w:rsidR="00D274F3" w:rsidRDefault="00D274F3" w:rsidP="007B44D0">
            <w:pPr>
              <w:pStyle w:val="Heading5"/>
              <w:rPr>
                <w:rFonts w:ascii="Arial" w:hAnsi="Arial"/>
                <w:u w:val="none"/>
              </w:rPr>
            </w:pPr>
            <w:r>
              <w:rPr>
                <w:rFonts w:ascii="Arial" w:hAnsi="Arial"/>
                <w:u w:val="none"/>
              </w:rPr>
              <w:t>Recommendation</w:t>
            </w:r>
          </w:p>
          <w:p w:rsidR="00D274F3" w:rsidRDefault="00D274F3" w:rsidP="007B44D0"/>
          <w:p w:rsidR="00D274F3" w:rsidRDefault="00D274F3" w:rsidP="007B44D0">
            <w:pPr>
              <w:autoSpaceDE w:val="0"/>
              <w:autoSpaceDN w:val="0"/>
              <w:adjustRightInd w:val="0"/>
              <w:ind w:right="-23"/>
              <w:rPr>
                <w:rFonts w:cs="Arial"/>
                <w:szCs w:val="24"/>
              </w:rPr>
            </w:pPr>
            <w:r>
              <w:rPr>
                <w:rFonts w:cs="Arial"/>
                <w:szCs w:val="24"/>
              </w:rPr>
              <w:t>Cabinet are asked to approve the implementation of the service offer proposals within the Wellbeing, Prevention and Early Help Services subject to consultation.</w:t>
            </w:r>
          </w:p>
          <w:p w:rsidR="00D274F3" w:rsidRDefault="00D274F3" w:rsidP="007B44D0"/>
        </w:tc>
      </w:tr>
    </w:tbl>
    <w:p w:rsidR="00D274F3" w:rsidRDefault="00D274F3" w:rsidP="00D274F3">
      <w:pPr>
        <w:rPr>
          <w:b/>
          <w:u w:val="single"/>
        </w:rPr>
      </w:pPr>
    </w:p>
    <w:p w:rsidR="00D274F3" w:rsidRDefault="00D274F3" w:rsidP="00D274F3">
      <w:pPr>
        <w:rPr>
          <w:b/>
          <w:u w:val="single"/>
        </w:rPr>
      </w:pPr>
    </w:p>
    <w:p w:rsidR="00C74684" w:rsidRDefault="00C74684" w:rsidP="00D274F3">
      <w:pPr>
        <w:rPr>
          <w:b/>
          <w:u w:val="single"/>
        </w:rPr>
        <w:sectPr w:rsidR="00C74684">
          <w:footerReference w:type="default" r:id="rId7"/>
          <w:pgSz w:w="11906" w:h="16838"/>
          <w:pgMar w:top="1440" w:right="1800" w:bottom="1440" w:left="1800" w:header="708" w:footer="708" w:gutter="0"/>
          <w:cols w:space="708"/>
          <w:docGrid w:linePitch="360"/>
        </w:sectPr>
      </w:pPr>
    </w:p>
    <w:p w:rsidR="00D274F3" w:rsidRDefault="00D274F3" w:rsidP="00D274F3">
      <w:pPr>
        <w:rPr>
          <w:b/>
        </w:rPr>
      </w:pPr>
      <w:r>
        <w:rPr>
          <w:b/>
        </w:rPr>
        <w:lastRenderedPageBreak/>
        <w:t xml:space="preserve">1. Background and Advice </w:t>
      </w:r>
    </w:p>
    <w:p w:rsidR="00D274F3" w:rsidRDefault="00D274F3" w:rsidP="00D274F3">
      <w:pPr>
        <w:rPr>
          <w:b/>
        </w:rPr>
      </w:pPr>
    </w:p>
    <w:p w:rsidR="00D274F3" w:rsidRDefault="00D274F3" w:rsidP="00D274F3">
      <w:pPr>
        <w:autoSpaceDE w:val="0"/>
        <w:autoSpaceDN w:val="0"/>
        <w:adjustRightInd w:val="0"/>
        <w:ind w:right="-23"/>
        <w:rPr>
          <w:rFonts w:cs="Arial"/>
          <w:szCs w:val="24"/>
        </w:rPr>
      </w:pPr>
      <w:r>
        <w:rPr>
          <w:rFonts w:cs="Arial"/>
          <w:szCs w:val="24"/>
        </w:rPr>
        <w:t>The case for effective Wellbeing, Prevention and Early Help is well documented and understood and has been robustly made in the following key national reports;</w:t>
      </w:r>
    </w:p>
    <w:p w:rsidR="00D274F3" w:rsidRDefault="00D274F3" w:rsidP="00D274F3">
      <w:pPr>
        <w:pStyle w:val="ListParagraph"/>
        <w:numPr>
          <w:ilvl w:val="0"/>
          <w:numId w:val="2"/>
        </w:numPr>
        <w:autoSpaceDE w:val="0"/>
        <w:autoSpaceDN w:val="0"/>
        <w:adjustRightInd w:val="0"/>
        <w:spacing w:after="0" w:line="240" w:lineRule="auto"/>
        <w:ind w:left="714" w:right="-23" w:hanging="357"/>
        <w:rPr>
          <w:rFonts w:ascii="Arial" w:hAnsi="Arial" w:cs="Arial"/>
          <w:sz w:val="24"/>
          <w:szCs w:val="24"/>
        </w:rPr>
      </w:pPr>
      <w:r>
        <w:rPr>
          <w:rFonts w:ascii="Arial" w:hAnsi="Arial" w:cs="Arial"/>
          <w:sz w:val="24"/>
          <w:szCs w:val="24"/>
        </w:rPr>
        <w:t>Fair Society, Healthy Lives – Marmot 2010</w:t>
      </w:r>
    </w:p>
    <w:p w:rsidR="00D274F3" w:rsidRDefault="00D274F3" w:rsidP="00D274F3">
      <w:pPr>
        <w:pStyle w:val="ListParagraph"/>
        <w:numPr>
          <w:ilvl w:val="0"/>
          <w:numId w:val="2"/>
        </w:numPr>
        <w:autoSpaceDE w:val="0"/>
        <w:autoSpaceDN w:val="0"/>
        <w:adjustRightInd w:val="0"/>
        <w:spacing w:after="0" w:line="240" w:lineRule="auto"/>
        <w:ind w:left="714" w:right="-23" w:hanging="357"/>
        <w:rPr>
          <w:rFonts w:ascii="Arial" w:hAnsi="Arial" w:cs="Arial"/>
          <w:sz w:val="24"/>
          <w:szCs w:val="24"/>
        </w:rPr>
      </w:pPr>
      <w:r>
        <w:rPr>
          <w:rFonts w:ascii="Arial" w:hAnsi="Arial" w:cs="Arial"/>
          <w:sz w:val="24"/>
          <w:szCs w:val="24"/>
        </w:rPr>
        <w:t>The Foundation Years, Preventing poor children becoming poor adults – Frank Field MP 2010</w:t>
      </w:r>
    </w:p>
    <w:p w:rsidR="00D274F3" w:rsidRDefault="00D274F3" w:rsidP="00D274F3">
      <w:pPr>
        <w:pStyle w:val="ListParagraph"/>
        <w:numPr>
          <w:ilvl w:val="0"/>
          <w:numId w:val="2"/>
        </w:numPr>
        <w:autoSpaceDE w:val="0"/>
        <w:autoSpaceDN w:val="0"/>
        <w:adjustRightInd w:val="0"/>
        <w:spacing w:after="0" w:line="240" w:lineRule="auto"/>
        <w:ind w:left="714" w:right="-23" w:hanging="357"/>
        <w:rPr>
          <w:rFonts w:ascii="Arial" w:hAnsi="Arial" w:cs="Arial"/>
          <w:sz w:val="24"/>
          <w:szCs w:val="24"/>
        </w:rPr>
      </w:pPr>
      <w:r>
        <w:rPr>
          <w:rFonts w:ascii="Arial" w:hAnsi="Arial" w:cs="Arial"/>
          <w:sz w:val="24"/>
          <w:szCs w:val="24"/>
        </w:rPr>
        <w:t>The Early Years, Foundation for life, health and learning – Tickell 2011</w:t>
      </w:r>
    </w:p>
    <w:p w:rsidR="00D274F3" w:rsidRDefault="00D274F3" w:rsidP="00D274F3">
      <w:pPr>
        <w:pStyle w:val="ListParagraph"/>
        <w:numPr>
          <w:ilvl w:val="0"/>
          <w:numId w:val="2"/>
        </w:numPr>
        <w:autoSpaceDE w:val="0"/>
        <w:autoSpaceDN w:val="0"/>
        <w:adjustRightInd w:val="0"/>
        <w:spacing w:after="0" w:line="240" w:lineRule="auto"/>
        <w:ind w:left="714" w:right="-23" w:hanging="357"/>
        <w:rPr>
          <w:rFonts w:ascii="Arial" w:hAnsi="Arial" w:cs="Arial"/>
          <w:sz w:val="24"/>
          <w:szCs w:val="24"/>
        </w:rPr>
      </w:pPr>
      <w:r>
        <w:rPr>
          <w:rFonts w:ascii="Arial" w:hAnsi="Arial" w:cs="Arial"/>
          <w:sz w:val="24"/>
          <w:szCs w:val="24"/>
        </w:rPr>
        <w:t>Early Intervention, The next steps – Graham Allen MP 2011</w:t>
      </w:r>
    </w:p>
    <w:p w:rsidR="00D274F3" w:rsidRPr="00F2106A" w:rsidRDefault="00D274F3" w:rsidP="00D274F3">
      <w:pPr>
        <w:pStyle w:val="ListParagraph"/>
        <w:numPr>
          <w:ilvl w:val="0"/>
          <w:numId w:val="2"/>
        </w:numPr>
        <w:autoSpaceDE w:val="0"/>
        <w:autoSpaceDN w:val="0"/>
        <w:adjustRightInd w:val="0"/>
        <w:spacing w:after="0" w:line="240" w:lineRule="auto"/>
        <w:ind w:left="714" w:right="-23" w:hanging="357"/>
        <w:rPr>
          <w:rFonts w:ascii="Arial" w:hAnsi="Arial" w:cs="Arial"/>
          <w:sz w:val="24"/>
          <w:szCs w:val="24"/>
        </w:rPr>
      </w:pPr>
      <w:r>
        <w:rPr>
          <w:rFonts w:ascii="Arial" w:hAnsi="Arial" w:cs="Arial"/>
          <w:sz w:val="24"/>
          <w:szCs w:val="24"/>
        </w:rPr>
        <w:t>Review of Child Protection – Munro 2011</w:t>
      </w:r>
    </w:p>
    <w:p w:rsidR="00D274F3" w:rsidRDefault="00D274F3" w:rsidP="00D274F3">
      <w:pPr>
        <w:autoSpaceDE w:val="0"/>
        <w:autoSpaceDN w:val="0"/>
        <w:adjustRightInd w:val="0"/>
        <w:ind w:right="-23"/>
        <w:rPr>
          <w:rFonts w:cs="Arial"/>
          <w:szCs w:val="24"/>
        </w:rPr>
      </w:pPr>
    </w:p>
    <w:p w:rsidR="00D274F3" w:rsidRDefault="00D274F3" w:rsidP="00D274F3">
      <w:pPr>
        <w:autoSpaceDE w:val="0"/>
        <w:autoSpaceDN w:val="0"/>
        <w:adjustRightInd w:val="0"/>
        <w:ind w:right="-23"/>
        <w:rPr>
          <w:rFonts w:cs="Arial"/>
          <w:szCs w:val="24"/>
        </w:rPr>
      </w:pPr>
      <w:r w:rsidRPr="00F2106A">
        <w:rPr>
          <w:rFonts w:cs="Arial"/>
          <w:szCs w:val="24"/>
        </w:rPr>
        <w:t xml:space="preserve">The case is that Early Help for children, young people and their families does more to reduce the prevalence of abuse and neglect than reactive (costly) </w:t>
      </w:r>
      <w:r>
        <w:rPr>
          <w:rFonts w:cs="Arial"/>
          <w:szCs w:val="24"/>
        </w:rPr>
        <w:t xml:space="preserve">specialist </w:t>
      </w:r>
      <w:r w:rsidRPr="00F2106A">
        <w:rPr>
          <w:rFonts w:cs="Arial"/>
          <w:szCs w:val="24"/>
        </w:rPr>
        <w:t xml:space="preserve">statutory services.  Effective Early Help requires a whole family approach and </w:t>
      </w:r>
      <w:r>
        <w:rPr>
          <w:rFonts w:cs="Arial"/>
          <w:szCs w:val="24"/>
        </w:rPr>
        <w:t>can encompass</w:t>
      </w:r>
      <w:r w:rsidRPr="00F2106A">
        <w:rPr>
          <w:rFonts w:cs="Arial"/>
          <w:szCs w:val="24"/>
        </w:rPr>
        <w:t xml:space="preserve"> a multi-agency response</w:t>
      </w:r>
      <w:r>
        <w:rPr>
          <w:rFonts w:cs="Arial"/>
          <w:szCs w:val="24"/>
        </w:rPr>
        <w:t xml:space="preserve"> for those with more complex needs</w:t>
      </w:r>
      <w:r w:rsidRPr="00F2106A">
        <w:rPr>
          <w:rFonts w:cs="Arial"/>
          <w:szCs w:val="24"/>
        </w:rPr>
        <w:t xml:space="preserve">. It contributes to meeting key targets </w:t>
      </w:r>
      <w:r>
        <w:rPr>
          <w:rFonts w:cs="Arial"/>
          <w:szCs w:val="24"/>
        </w:rPr>
        <w:t xml:space="preserve">focussed on improving the wider determinants for health, including economic, </w:t>
      </w:r>
      <w:r w:rsidRPr="00F2106A">
        <w:rPr>
          <w:rFonts w:cs="Arial"/>
          <w:szCs w:val="24"/>
        </w:rPr>
        <w:t xml:space="preserve">social </w:t>
      </w:r>
      <w:r>
        <w:rPr>
          <w:rFonts w:cs="Arial"/>
          <w:szCs w:val="24"/>
        </w:rPr>
        <w:t xml:space="preserve">and environmental </w:t>
      </w:r>
      <w:r w:rsidRPr="00F2106A">
        <w:rPr>
          <w:rFonts w:cs="Arial"/>
          <w:szCs w:val="24"/>
        </w:rPr>
        <w:t xml:space="preserve">improvement in both local and national </w:t>
      </w:r>
      <w:r>
        <w:rPr>
          <w:rFonts w:cs="Arial"/>
          <w:szCs w:val="24"/>
        </w:rPr>
        <w:t>context</w:t>
      </w:r>
      <w:r w:rsidRPr="00F2106A">
        <w:rPr>
          <w:rFonts w:cs="Arial"/>
          <w:szCs w:val="24"/>
        </w:rPr>
        <w:t>, including the key priorities of;</w:t>
      </w:r>
    </w:p>
    <w:p w:rsidR="00D274F3" w:rsidRPr="00F2106A" w:rsidRDefault="00D274F3" w:rsidP="00D274F3">
      <w:pPr>
        <w:autoSpaceDE w:val="0"/>
        <w:autoSpaceDN w:val="0"/>
        <w:adjustRightInd w:val="0"/>
        <w:ind w:right="-23"/>
        <w:rPr>
          <w:rFonts w:cs="Arial"/>
          <w:szCs w:val="24"/>
        </w:rPr>
      </w:pPr>
    </w:p>
    <w:p w:rsidR="00D274F3" w:rsidRDefault="00D274F3" w:rsidP="00D274F3">
      <w:pPr>
        <w:pStyle w:val="ListParagraph"/>
        <w:numPr>
          <w:ilvl w:val="0"/>
          <w:numId w:val="1"/>
        </w:numPr>
        <w:autoSpaceDE w:val="0"/>
        <w:autoSpaceDN w:val="0"/>
        <w:adjustRightInd w:val="0"/>
        <w:spacing w:after="0" w:line="240" w:lineRule="auto"/>
        <w:ind w:left="850" w:right="-23" w:hanging="357"/>
        <w:rPr>
          <w:rFonts w:ascii="Arial" w:hAnsi="Arial" w:cs="Arial"/>
          <w:sz w:val="24"/>
          <w:szCs w:val="24"/>
        </w:rPr>
      </w:pPr>
      <w:r>
        <w:rPr>
          <w:rFonts w:ascii="Arial" w:hAnsi="Arial" w:cs="Arial"/>
          <w:sz w:val="24"/>
          <w:szCs w:val="24"/>
        </w:rPr>
        <w:t>Narrowing the Gap</w:t>
      </w:r>
    </w:p>
    <w:p w:rsidR="00D274F3" w:rsidRDefault="00D274F3" w:rsidP="00D274F3">
      <w:pPr>
        <w:pStyle w:val="ListParagraph"/>
        <w:numPr>
          <w:ilvl w:val="0"/>
          <w:numId w:val="1"/>
        </w:numPr>
        <w:autoSpaceDE w:val="0"/>
        <w:autoSpaceDN w:val="0"/>
        <w:adjustRightInd w:val="0"/>
        <w:spacing w:after="0" w:line="240" w:lineRule="auto"/>
        <w:ind w:left="850" w:right="-23" w:hanging="357"/>
        <w:rPr>
          <w:rFonts w:ascii="Arial" w:hAnsi="Arial" w:cs="Arial"/>
          <w:sz w:val="24"/>
          <w:szCs w:val="24"/>
        </w:rPr>
      </w:pPr>
      <w:r>
        <w:rPr>
          <w:rFonts w:ascii="Arial" w:hAnsi="Arial" w:cs="Arial"/>
          <w:sz w:val="24"/>
          <w:szCs w:val="24"/>
        </w:rPr>
        <w:t>Reducing health inequalities</w:t>
      </w:r>
    </w:p>
    <w:p w:rsidR="00D274F3" w:rsidRDefault="00D274F3" w:rsidP="00D274F3">
      <w:pPr>
        <w:pStyle w:val="ListParagraph"/>
        <w:numPr>
          <w:ilvl w:val="0"/>
          <w:numId w:val="1"/>
        </w:numPr>
        <w:autoSpaceDE w:val="0"/>
        <w:autoSpaceDN w:val="0"/>
        <w:adjustRightInd w:val="0"/>
        <w:spacing w:after="0" w:line="240" w:lineRule="auto"/>
        <w:ind w:left="850" w:right="-23" w:hanging="357"/>
        <w:rPr>
          <w:rFonts w:ascii="Arial" w:hAnsi="Arial" w:cs="Arial"/>
          <w:sz w:val="24"/>
          <w:szCs w:val="24"/>
        </w:rPr>
      </w:pPr>
      <w:r>
        <w:rPr>
          <w:rFonts w:ascii="Arial" w:hAnsi="Arial" w:cs="Arial"/>
          <w:sz w:val="24"/>
          <w:szCs w:val="24"/>
        </w:rPr>
        <w:t>Keeping children and young people safe from harm</w:t>
      </w:r>
    </w:p>
    <w:p w:rsidR="00D274F3" w:rsidRDefault="00D274F3" w:rsidP="00D274F3">
      <w:pPr>
        <w:pStyle w:val="ListParagraph"/>
        <w:numPr>
          <w:ilvl w:val="0"/>
          <w:numId w:val="1"/>
        </w:numPr>
        <w:autoSpaceDE w:val="0"/>
        <w:autoSpaceDN w:val="0"/>
        <w:adjustRightInd w:val="0"/>
        <w:spacing w:after="0" w:line="240" w:lineRule="auto"/>
        <w:ind w:left="850" w:right="-23" w:hanging="357"/>
        <w:rPr>
          <w:rFonts w:ascii="Arial" w:hAnsi="Arial" w:cs="Arial"/>
          <w:sz w:val="24"/>
          <w:szCs w:val="24"/>
        </w:rPr>
      </w:pPr>
      <w:r>
        <w:rPr>
          <w:rFonts w:ascii="Arial" w:hAnsi="Arial" w:cs="Arial"/>
          <w:sz w:val="24"/>
          <w:szCs w:val="24"/>
        </w:rPr>
        <w:t>Improving school readiness and engagement</w:t>
      </w:r>
    </w:p>
    <w:p w:rsidR="00D274F3" w:rsidRDefault="00D274F3" w:rsidP="00D274F3">
      <w:pPr>
        <w:pStyle w:val="ListParagraph"/>
        <w:numPr>
          <w:ilvl w:val="0"/>
          <w:numId w:val="1"/>
        </w:numPr>
        <w:autoSpaceDE w:val="0"/>
        <w:autoSpaceDN w:val="0"/>
        <w:adjustRightInd w:val="0"/>
        <w:spacing w:after="0" w:line="240" w:lineRule="auto"/>
        <w:ind w:left="850" w:right="-23" w:hanging="357"/>
        <w:rPr>
          <w:rFonts w:ascii="Arial" w:hAnsi="Arial" w:cs="Arial"/>
          <w:sz w:val="24"/>
          <w:szCs w:val="24"/>
        </w:rPr>
      </w:pPr>
      <w:r>
        <w:rPr>
          <w:rFonts w:ascii="Arial" w:hAnsi="Arial" w:cs="Arial"/>
          <w:sz w:val="24"/>
          <w:szCs w:val="24"/>
        </w:rPr>
        <w:t xml:space="preserve">Mitigating the effects of poverty </w:t>
      </w:r>
    </w:p>
    <w:p w:rsidR="00D274F3" w:rsidRDefault="00D274F3" w:rsidP="00D274F3">
      <w:pPr>
        <w:pStyle w:val="ListParagraph"/>
        <w:numPr>
          <w:ilvl w:val="0"/>
          <w:numId w:val="1"/>
        </w:numPr>
        <w:autoSpaceDE w:val="0"/>
        <w:autoSpaceDN w:val="0"/>
        <w:adjustRightInd w:val="0"/>
        <w:spacing w:after="0" w:line="240" w:lineRule="auto"/>
        <w:ind w:left="850" w:right="-23" w:hanging="357"/>
        <w:rPr>
          <w:rFonts w:ascii="Arial" w:hAnsi="Arial" w:cs="Arial"/>
          <w:sz w:val="24"/>
          <w:szCs w:val="24"/>
        </w:rPr>
      </w:pPr>
      <w:r>
        <w:rPr>
          <w:rFonts w:ascii="Arial" w:hAnsi="Arial" w:cs="Arial"/>
          <w:sz w:val="24"/>
          <w:szCs w:val="24"/>
        </w:rPr>
        <w:t>Building resilience on an individual, family and community level.</w:t>
      </w:r>
    </w:p>
    <w:p w:rsidR="00D274F3" w:rsidRPr="005916FF" w:rsidRDefault="00D274F3" w:rsidP="00D274F3">
      <w:pPr>
        <w:pStyle w:val="ListParagraph"/>
        <w:numPr>
          <w:ilvl w:val="0"/>
          <w:numId w:val="1"/>
        </w:numPr>
        <w:autoSpaceDE w:val="0"/>
        <w:autoSpaceDN w:val="0"/>
        <w:adjustRightInd w:val="0"/>
        <w:spacing w:after="0" w:line="240" w:lineRule="auto"/>
        <w:ind w:left="850" w:right="-23" w:hanging="357"/>
        <w:rPr>
          <w:rFonts w:ascii="Arial" w:hAnsi="Arial" w:cs="Arial"/>
          <w:sz w:val="24"/>
          <w:szCs w:val="24"/>
        </w:rPr>
      </w:pPr>
      <w:r>
        <w:rPr>
          <w:rFonts w:ascii="Arial" w:hAnsi="Arial" w:cs="Arial"/>
          <w:sz w:val="24"/>
          <w:szCs w:val="24"/>
        </w:rPr>
        <w:t>Parental skills and raising aspiration</w:t>
      </w:r>
    </w:p>
    <w:p w:rsidR="00D274F3" w:rsidRDefault="00D274F3" w:rsidP="00D274F3">
      <w:pPr>
        <w:pStyle w:val="ListParagraph"/>
        <w:autoSpaceDE w:val="0"/>
        <w:autoSpaceDN w:val="0"/>
        <w:adjustRightInd w:val="0"/>
        <w:spacing w:after="0" w:line="276" w:lineRule="auto"/>
        <w:ind w:left="0"/>
        <w:rPr>
          <w:rFonts w:ascii="Arial" w:hAnsi="Arial" w:cs="Arial"/>
          <w:sz w:val="24"/>
          <w:szCs w:val="24"/>
        </w:rPr>
      </w:pPr>
    </w:p>
    <w:p w:rsidR="00D274F3" w:rsidRDefault="00D274F3" w:rsidP="00D274F3">
      <w:pPr>
        <w:rPr>
          <w:rFonts w:cs="Arial"/>
          <w:szCs w:val="24"/>
        </w:rPr>
      </w:pPr>
      <w:r w:rsidRPr="00960BE2">
        <w:rPr>
          <w:rFonts w:cs="Arial"/>
          <w:szCs w:val="24"/>
        </w:rPr>
        <w:t>Lancashire wellbeing, prevention and early help service</w:t>
      </w:r>
      <w:r w:rsidRPr="00960BE2">
        <w:rPr>
          <w:rFonts w:cs="Arial"/>
          <w:b/>
          <w:szCs w:val="24"/>
        </w:rPr>
        <w:t xml:space="preserve"> </w:t>
      </w:r>
      <w:r w:rsidRPr="00960BE2">
        <w:rPr>
          <w:rFonts w:cs="Arial"/>
          <w:szCs w:val="24"/>
        </w:rPr>
        <w:t xml:space="preserve">is aimed at improving health and wellbeing and reducing inequalities. It comprises of activity at universal level as well as targeted to the most vulnerable. </w:t>
      </w:r>
    </w:p>
    <w:p w:rsidR="00D274F3" w:rsidRDefault="00D274F3" w:rsidP="00D274F3">
      <w:pPr>
        <w:jc w:val="both"/>
        <w:rPr>
          <w:rFonts w:cs="Arial"/>
          <w:szCs w:val="24"/>
        </w:rPr>
      </w:pPr>
    </w:p>
    <w:p w:rsidR="00D274F3" w:rsidRDefault="00D274F3" w:rsidP="00D274F3">
      <w:pPr>
        <w:jc w:val="both"/>
        <w:rPr>
          <w:rFonts w:cs="Arial"/>
          <w:szCs w:val="24"/>
        </w:rPr>
      </w:pPr>
      <w:r w:rsidRPr="00960BE2">
        <w:rPr>
          <w:rFonts w:cs="Arial"/>
          <w:szCs w:val="24"/>
        </w:rPr>
        <w:t>The universal offer include a range of services currently resourced via the public health grant and includes health visiting, school nursing, and lifestyle services like sexual health services, substance misuse, and tobacco control programme etc.  More details of this offer are presented in the diagram below.</w:t>
      </w:r>
    </w:p>
    <w:p w:rsidR="00D274F3" w:rsidRDefault="00D274F3" w:rsidP="00D274F3">
      <w:pPr>
        <w:jc w:val="both"/>
        <w:rPr>
          <w:rFonts w:cs="Arial"/>
          <w:szCs w:val="24"/>
        </w:rPr>
      </w:pPr>
    </w:p>
    <w:p w:rsidR="00D274F3" w:rsidRDefault="00D274F3" w:rsidP="00D274F3">
      <w:pPr>
        <w:ind w:left="-567"/>
        <w:rPr>
          <w:b/>
          <w:color w:val="BDD6EE"/>
          <w:sz w:val="29"/>
          <w:szCs w:val="28"/>
        </w:rPr>
      </w:pPr>
    </w:p>
    <w:p w:rsidR="00D274F3" w:rsidRDefault="00C74684" w:rsidP="00D274F3">
      <w:pPr>
        <w:ind w:left="-426"/>
      </w:pPr>
      <w:r>
        <w:rPr>
          <w:noProof/>
        </w:rPr>
      </w:r>
      <w:r>
        <w:rPr>
          <w:noProof/>
        </w:rPr>
        <w:pict>
          <v:group id="_x0000_s1026" editas="stacked" style="width:594.25pt;height:439.8pt;mso-position-horizontal-relative:char;mso-position-vertical-relative:line" coordorigin="567,3074" coordsize="10829,8796">
            <o:lock v:ext="edit" aspectratio="t"/>
            <o:diagram v:ext="edit" dgmstyle="0" dgmscalex="92718" dgmscaley="68634" dgmfontsize="12" constrainbounds="2365,567,10380,8581">
              <o:relationtable v:ext="edit">
                <o:rel v:ext="edit" idsrc="#_s1028" iddest="#_s1028"/>
                <o:rel v:ext="edit" idsrc="#_s1029" iddest="#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7;top:3074;width:10829;height:8796"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28" o:spid="_x0000_s1028" type="#_x0000_t8" style="position:absolute;left:3978;top:4001;width:4007;height:3471;flip:y;v-text-anchor:middle" o:dgmnodekind="0" adj="10800" fillcolor="#bbe0e3" stroked="f" strokeweight=".1297mm" insetpen="t">
              <v:textbox style="mso-next-textbox:#_s1028" inset="0,0,0,0">
                <w:txbxContent>
                  <w:p w:rsidR="00D274F3" w:rsidRPr="00DE42B2" w:rsidRDefault="00D274F3" w:rsidP="00D274F3">
                    <w:pPr>
                      <w:rPr>
                        <w:b/>
                        <w:color w:val="BDD6EE"/>
                        <w:sz w:val="29"/>
                        <w:szCs w:val="28"/>
                      </w:rPr>
                    </w:pPr>
                    <w:r w:rsidRPr="00DE42B2">
                      <w:rPr>
                        <w:b/>
                        <w:color w:val="BDD6EE"/>
                        <w:sz w:val="29"/>
                        <w:szCs w:val="28"/>
                      </w:rPr>
                      <w:t xml:space="preserve">C </w:t>
                    </w:r>
                  </w:p>
                </w:txbxContent>
              </v:textbox>
            </v:shape>
            <v:shape id="_s1029" o:spid="_x0000_s1029" type="#_x0000_t8" style="position:absolute;left:1974;top:7472;width:8015;height:3470;flip:y;v-text-anchor:middle" o:dgmnodekind="0" fillcolor="#bbe0e3" stroked="f" strokecolor="#002060" strokeweight=".1297mm" insetpen="t">
              <v:textbox style="mso-next-textbox:#_s1029" inset="0,0,0,0">
                <w:txbxContent>
                  <w:p w:rsidR="00D274F3" w:rsidRPr="00DE42B2" w:rsidRDefault="00D274F3" w:rsidP="00D274F3">
                    <w:pPr>
                      <w:jc w:val="center"/>
                      <w:rPr>
                        <w:b/>
                        <w:sz w:val="7"/>
                        <w:szCs w:val="8"/>
                      </w:rPr>
                    </w:pPr>
                  </w:p>
                  <w:p w:rsidR="00D274F3" w:rsidRPr="00DE42B2" w:rsidRDefault="00D274F3" w:rsidP="00D274F3">
                    <w:pPr>
                      <w:jc w:val="center"/>
                      <w:rPr>
                        <w:b/>
                        <w:sz w:val="7"/>
                        <w:szCs w:val="8"/>
                      </w:rPr>
                    </w:pPr>
                  </w:p>
                  <w:p w:rsidR="00D274F3" w:rsidRPr="00DE42B2" w:rsidRDefault="00D274F3" w:rsidP="00D274F3">
                    <w:pPr>
                      <w:jc w:val="center"/>
                      <w:rPr>
                        <w:b/>
                        <w:sz w:val="7"/>
                        <w:szCs w:val="8"/>
                      </w:rPr>
                    </w:pPr>
                  </w:p>
                  <w:p w:rsidR="00D274F3" w:rsidRPr="00DE42B2" w:rsidRDefault="00D274F3" w:rsidP="00D274F3">
                    <w:pPr>
                      <w:jc w:val="center"/>
                      <w:rPr>
                        <w:b/>
                        <w:sz w:val="7"/>
                        <w:szCs w:val="8"/>
                      </w:rPr>
                    </w:pPr>
                  </w:p>
                  <w:p w:rsidR="00D274F3" w:rsidRPr="00DE42B2" w:rsidRDefault="00D274F3" w:rsidP="00D274F3">
                    <w:pPr>
                      <w:jc w:val="center"/>
                      <w:rPr>
                        <w:b/>
                        <w:sz w:val="7"/>
                        <w:szCs w:val="8"/>
                      </w:rPr>
                    </w:pPr>
                  </w:p>
                  <w:p w:rsidR="00D274F3" w:rsidRPr="00DE42B2" w:rsidRDefault="00D274F3" w:rsidP="00D274F3">
                    <w:pPr>
                      <w:jc w:val="center"/>
                      <w:rPr>
                        <w:b/>
                        <w:sz w:val="22"/>
                        <w:szCs w:val="22"/>
                      </w:rPr>
                    </w:pPr>
                  </w:p>
                  <w:p w:rsidR="00D274F3" w:rsidRDefault="00D274F3" w:rsidP="00D274F3">
                    <w:pPr>
                      <w:jc w:val="center"/>
                      <w:rPr>
                        <w:b/>
                        <w:sz w:val="16"/>
                        <w:szCs w:val="16"/>
                      </w:rPr>
                    </w:pPr>
                  </w:p>
                  <w:p w:rsidR="00D274F3" w:rsidRPr="007411EF" w:rsidRDefault="00D274F3" w:rsidP="00D274F3">
                    <w:pPr>
                      <w:jc w:val="center"/>
                      <w:rPr>
                        <w:b/>
                        <w:sz w:val="16"/>
                        <w:szCs w:val="16"/>
                      </w:rPr>
                    </w:pPr>
                    <w:r w:rsidRPr="007411EF">
                      <w:rPr>
                        <w:b/>
                        <w:sz w:val="16"/>
                        <w:szCs w:val="16"/>
                      </w:rPr>
                      <w:t>Universal services</w:t>
                    </w:r>
                  </w:p>
                  <w:p w:rsidR="00D274F3" w:rsidRPr="007411EF" w:rsidRDefault="00D274F3" w:rsidP="00D274F3">
                    <w:pPr>
                      <w:jc w:val="center"/>
                      <w:rPr>
                        <w:sz w:val="16"/>
                        <w:szCs w:val="16"/>
                      </w:rPr>
                    </w:pPr>
                    <w:r w:rsidRPr="007411EF">
                      <w:rPr>
                        <w:sz w:val="16"/>
                        <w:szCs w:val="16"/>
                      </w:rPr>
                      <w:t>Health visiting, school nursing, sexual health, substance misuse, emotional health and wellbeing, health checks, healthy lifestyles (tobacco, nutrition and physical activity).  Information, advice and guidance, identify and assess vulnerability through neighbourhood centres</w:t>
                    </w:r>
                  </w:p>
                </w:txbxContent>
              </v:textbox>
            </v:shape>
            <v:rect id="_x0000_s1030" style="position:absolute;left:4651;top:6463;width:1225;height:2294" fillcolor="#5b9bd5" strokeweight="3pt">
              <v:shadow on="t" type="perspective" color="#1f4d78" opacity=".5" offset="1pt" offset2="-1pt"/>
              <v:textbox style="mso-next-textbox:#_x0000_s1030">
                <w:txbxContent>
                  <w:p w:rsidR="00D274F3" w:rsidRPr="001976AF" w:rsidRDefault="00D274F3" w:rsidP="00D274F3">
                    <w:pPr>
                      <w:rPr>
                        <w:b/>
                        <w:sz w:val="20"/>
                      </w:rPr>
                    </w:pPr>
                    <w:r w:rsidRPr="00403AE8">
                      <w:rPr>
                        <w:b/>
                        <w:color w:val="FFFFFF"/>
                        <w:sz w:val="16"/>
                        <w:szCs w:val="16"/>
                      </w:rPr>
                      <w:t>Support to CYP &amp; families currently delivered through Children Centres and Young People</w:t>
                    </w:r>
                    <w:r w:rsidRPr="001976AF">
                      <w:rPr>
                        <w:b/>
                        <w:sz w:val="20"/>
                      </w:rPr>
                      <w:t xml:space="preserve"> </w:t>
                    </w:r>
                    <w:r w:rsidRPr="00403AE8">
                      <w:rPr>
                        <w:b/>
                        <w:color w:val="FFFFFF"/>
                        <w:sz w:val="16"/>
                        <w:szCs w:val="16"/>
                      </w:rPr>
                      <w:t>Centres</w:t>
                    </w:r>
                  </w:p>
                </w:txbxContent>
              </v:textbox>
            </v:rect>
            <v:rect id="_x0000_s1031" style="position:absolute;left:6038;top:6445;width:1194;height:2252" fillcolor="#5b9bd5" strokeweight="3pt">
              <v:shadow on="t" type="perspective" color="#1f4d78" opacity=".5" offset="1pt" offset2="-1pt"/>
              <v:textbox style="mso-next-textbox:#_x0000_s1031">
                <w:txbxContent>
                  <w:p w:rsidR="00D274F3" w:rsidRPr="00403AE8" w:rsidRDefault="00D274F3" w:rsidP="00D274F3">
                    <w:pPr>
                      <w:rPr>
                        <w:b/>
                        <w:color w:val="FFFFFF"/>
                        <w:sz w:val="16"/>
                        <w:szCs w:val="16"/>
                      </w:rPr>
                    </w:pPr>
                    <w:r w:rsidRPr="00403AE8">
                      <w:rPr>
                        <w:b/>
                        <w:color w:val="FFFFFF"/>
                        <w:sz w:val="16"/>
                        <w:szCs w:val="16"/>
                      </w:rPr>
                      <w:t>Support to vulnerable adults delivered through Lancashire Wellbeing Worker Service</w:t>
                    </w:r>
                  </w:p>
                </w:txbxContent>
              </v:textbox>
            </v:rect>
            <v:shapetype id="_x0000_t32" coordsize="21600,21600" o:spt="32" o:oned="t" path="m,l21600,21600e" filled="f">
              <v:path arrowok="t" fillok="f" o:connecttype="none"/>
              <o:lock v:ext="edit" shapetype="t"/>
            </v:shapetype>
            <v:shape id="_x0000_s1032" type="#_x0000_t32" style="position:absolute;left:2975;top:9207;width:1;height:1" o:connectortype="straight"/>
            <v:shapetype id="_x0000_t202" coordsize="21600,21600" o:spt="202" path="m,l,21600r21600,l21600,xe">
              <v:stroke joinstyle="miter"/>
              <v:path gradientshapeok="t" o:connecttype="rect"/>
            </v:shapetype>
            <v:shape id="_x0000_s1033" type="#_x0000_t202" style="position:absolute;left:5355;top:5175;width:1155;height:1080" fillcolor="#bdd6ee" strokecolor="#bdd6ee">
              <v:textbox style="mso-next-textbox:#_x0000_s1033">
                <w:txbxContent>
                  <w:p w:rsidR="00D274F3" w:rsidRPr="001F3EA6" w:rsidRDefault="00D274F3" w:rsidP="00D274F3">
                    <w:pPr>
                      <w:jc w:val="center"/>
                      <w:rPr>
                        <w:sz w:val="20"/>
                      </w:rPr>
                    </w:pPr>
                    <w:r w:rsidRPr="001F3EA6">
                      <w:rPr>
                        <w:sz w:val="20"/>
                      </w:rPr>
                      <w:t>Targeted Early Help</w:t>
                    </w:r>
                  </w:p>
                </w:txbxContent>
              </v:textbox>
            </v:shape>
            <w10:wrap type="none"/>
            <w10:anchorlock/>
          </v:group>
        </w:pict>
      </w:r>
    </w:p>
    <w:p w:rsidR="00D274F3" w:rsidRDefault="00D274F3" w:rsidP="00D274F3">
      <w:pPr>
        <w:jc w:val="both"/>
      </w:pPr>
      <w:bookmarkStart w:id="0" w:name="_GoBack"/>
      <w:bookmarkEnd w:id="0"/>
      <w:r w:rsidRPr="00A5224B">
        <w:t>The targeted early help services are aimed at identifying vulnerable residents and families with a view to offer a lead professional based support in improving the outcomes that are important to them, which will in turn contribute towards reducing the demand on high cost statutory services like children and adult social care as well as avoidable emergency admissions to hospitals.</w:t>
      </w:r>
    </w:p>
    <w:p w:rsidR="00D274F3" w:rsidRPr="00A5224B" w:rsidRDefault="00D274F3" w:rsidP="00D274F3">
      <w:pPr>
        <w:jc w:val="both"/>
      </w:pPr>
    </w:p>
    <w:p w:rsidR="00D274F3" w:rsidRPr="00A5224B" w:rsidRDefault="00D274F3" w:rsidP="00D274F3">
      <w:pPr>
        <w:jc w:val="both"/>
      </w:pPr>
      <w:r w:rsidRPr="00A5224B">
        <w:t>Targeted early help is available across the life course as start well, live well and age well programmes. The start well element is mainly delivered in house whereas the live well and age well elements are mainly delivered through third parties, currently commissioned as the wellbeing worker service.</w:t>
      </w:r>
    </w:p>
    <w:p w:rsidR="00D274F3" w:rsidRPr="00A5224B" w:rsidRDefault="00D274F3" w:rsidP="00D274F3"/>
    <w:p w:rsidR="00D274F3" w:rsidRPr="00A5224B" w:rsidRDefault="00D274F3" w:rsidP="00D274F3">
      <w:r w:rsidRPr="00A5224B">
        <w:t>The focus on this paper is to transform the targeted early help offer for children, young people and families currently delivered through Children Centre or Young People Service.</w:t>
      </w:r>
    </w:p>
    <w:p w:rsidR="00D274F3" w:rsidRPr="00A5224B" w:rsidRDefault="00D274F3" w:rsidP="00D274F3"/>
    <w:p w:rsidR="00D274F3" w:rsidRPr="00A5224B" w:rsidRDefault="00D274F3" w:rsidP="00D274F3">
      <w:pPr>
        <w:autoSpaceDE w:val="0"/>
        <w:autoSpaceDN w:val="0"/>
        <w:adjustRightInd w:val="0"/>
        <w:contextualSpacing/>
        <w:rPr>
          <w:rFonts w:eastAsia="Calibri" w:cs="Arial"/>
          <w:b/>
          <w:szCs w:val="24"/>
          <w:lang w:eastAsia="en-US"/>
        </w:rPr>
      </w:pPr>
      <w:r w:rsidRPr="00A5224B">
        <w:rPr>
          <w:rFonts w:eastAsia="Calibri" w:cs="Arial"/>
          <w:b/>
          <w:szCs w:val="24"/>
          <w:lang w:eastAsia="en-US"/>
        </w:rPr>
        <w:t>2. Statutory Remit of the Wellbeing, Prevention and Early Help Service (WPEHS) for Children, Young People and Families</w:t>
      </w:r>
    </w:p>
    <w:p w:rsidR="00D274F3" w:rsidRPr="00A5224B" w:rsidRDefault="00D274F3" w:rsidP="00D274F3">
      <w:pPr>
        <w:autoSpaceDE w:val="0"/>
        <w:autoSpaceDN w:val="0"/>
        <w:adjustRightInd w:val="0"/>
        <w:contextualSpacing/>
        <w:rPr>
          <w:rFonts w:eastAsia="Calibri" w:cs="Arial"/>
          <w:b/>
          <w:sz w:val="16"/>
          <w:szCs w:val="16"/>
          <w:lang w:eastAsia="en-US"/>
        </w:rPr>
      </w:pPr>
    </w:p>
    <w:p w:rsidR="00D274F3" w:rsidRPr="00A5224B" w:rsidRDefault="00D274F3" w:rsidP="00D274F3">
      <w:pPr>
        <w:autoSpaceDE w:val="0"/>
        <w:autoSpaceDN w:val="0"/>
        <w:adjustRightInd w:val="0"/>
        <w:contextualSpacing/>
        <w:rPr>
          <w:rFonts w:eastAsia="Calibri" w:cs="Arial"/>
          <w:szCs w:val="24"/>
          <w:lang w:eastAsia="en-US"/>
        </w:rPr>
      </w:pPr>
      <w:r w:rsidRPr="00A5224B">
        <w:rPr>
          <w:rFonts w:eastAsia="Calibri" w:cs="Arial"/>
          <w:szCs w:val="24"/>
          <w:lang w:eastAsia="en-US"/>
        </w:rPr>
        <w:t>The council's statutory duties relevant to this service include:</w:t>
      </w:r>
    </w:p>
    <w:p w:rsidR="00D274F3" w:rsidRPr="00A5224B" w:rsidRDefault="00D274F3" w:rsidP="00D274F3">
      <w:pPr>
        <w:autoSpaceDE w:val="0"/>
        <w:autoSpaceDN w:val="0"/>
        <w:adjustRightInd w:val="0"/>
        <w:contextualSpacing/>
        <w:rPr>
          <w:rFonts w:eastAsia="Calibri" w:cs="Arial"/>
          <w:szCs w:val="24"/>
          <w:lang w:eastAsia="en-US"/>
        </w:rPr>
      </w:pPr>
    </w:p>
    <w:p w:rsidR="00D274F3" w:rsidRPr="00A5224B" w:rsidRDefault="00D274F3" w:rsidP="00D274F3">
      <w:pPr>
        <w:numPr>
          <w:ilvl w:val="0"/>
          <w:numId w:val="3"/>
        </w:numPr>
        <w:autoSpaceDE w:val="0"/>
        <w:autoSpaceDN w:val="0"/>
        <w:adjustRightInd w:val="0"/>
        <w:rPr>
          <w:rFonts w:eastAsia="Calibri" w:cs="Arial"/>
          <w:color w:val="000000"/>
          <w:sz w:val="22"/>
          <w:szCs w:val="22"/>
          <w:lang w:eastAsia="en-US"/>
        </w:rPr>
      </w:pPr>
      <w:r w:rsidRPr="00A5224B">
        <w:rPr>
          <w:rFonts w:eastAsia="Calibri" w:cs="Arial"/>
          <w:color w:val="000000"/>
          <w:szCs w:val="24"/>
          <w:lang w:eastAsia="en-US"/>
        </w:rPr>
        <w:t xml:space="preserve">Delivering a 'sufficient' children’s centre offer to meet local need so far as this is reasonably practicable (Childcare Act 2006).  This </w:t>
      </w:r>
      <w:r w:rsidRPr="00A5224B">
        <w:rPr>
          <w:rFonts w:eastAsia="Calibri" w:cs="Arial"/>
          <w:iCs/>
          <w:color w:val="000000"/>
          <w:szCs w:val="24"/>
          <w:lang w:eastAsia="en-US"/>
        </w:rPr>
        <w:t>is based on population and defined reach areas, with a consideration to retain universal services, whilst concentrating and targeting those children and families who are the most disadvantaged</w:t>
      </w:r>
      <w:r w:rsidRPr="00A5224B">
        <w:rPr>
          <w:rFonts w:eastAsia="Calibri" w:cs="Arial"/>
          <w:color w:val="000000"/>
          <w:szCs w:val="24"/>
          <w:lang w:eastAsia="en-US"/>
        </w:rPr>
        <w:t xml:space="preserve">. </w:t>
      </w:r>
    </w:p>
    <w:p w:rsidR="00D274F3" w:rsidRPr="00A5224B" w:rsidRDefault="00D274F3" w:rsidP="00D274F3">
      <w:pPr>
        <w:numPr>
          <w:ilvl w:val="0"/>
          <w:numId w:val="3"/>
        </w:numPr>
        <w:autoSpaceDE w:val="0"/>
        <w:autoSpaceDN w:val="0"/>
        <w:adjustRightInd w:val="0"/>
        <w:rPr>
          <w:rFonts w:eastAsia="Calibri" w:cs="Arial"/>
          <w:color w:val="000000"/>
          <w:sz w:val="22"/>
          <w:szCs w:val="22"/>
          <w:lang w:eastAsia="en-US"/>
        </w:rPr>
      </w:pPr>
      <w:r w:rsidRPr="00A5224B">
        <w:rPr>
          <w:rFonts w:eastAsia="Calibri" w:cs="Arial"/>
          <w:color w:val="000000"/>
          <w:szCs w:val="24"/>
          <w:lang w:eastAsia="en-US"/>
        </w:rPr>
        <w:t>Securing</w:t>
      </w:r>
      <w:r w:rsidRPr="00A5224B">
        <w:rPr>
          <w:rFonts w:ascii="Helvetica" w:eastAsia="Calibri" w:hAnsi="Helvetica" w:cs="Arial"/>
          <w:color w:val="000000"/>
          <w:szCs w:val="24"/>
          <w:lang w:eastAsia="en-US"/>
        </w:rPr>
        <w:t xml:space="preserve"> young people's access to 'sufficient' educational and recreational leisure time activities and facilities for the improvement of young people's well-being through the delivery of a 'Youth Offer' (Section 507b of the Education and Inspection Act 2006).  </w:t>
      </w:r>
      <w:r w:rsidRPr="00A5224B">
        <w:rPr>
          <w:rFonts w:eastAsia="Calibri" w:cs="Arial"/>
          <w:color w:val="000000"/>
          <w:szCs w:val="24"/>
          <w:lang w:eastAsia="en-US"/>
        </w:rPr>
        <w:t>This includes the duty on the local authority to consult young people about positive activities and other decisions affecting their lives and to publicise information on what positive activities are available in the county/local areas.</w:t>
      </w:r>
    </w:p>
    <w:p w:rsidR="00D274F3" w:rsidRPr="00A5224B" w:rsidRDefault="00D274F3" w:rsidP="00D274F3">
      <w:pPr>
        <w:numPr>
          <w:ilvl w:val="0"/>
          <w:numId w:val="4"/>
        </w:numPr>
        <w:autoSpaceDE w:val="0"/>
        <w:autoSpaceDN w:val="0"/>
        <w:rPr>
          <w:rFonts w:eastAsia="Calibri" w:cs="Arial"/>
          <w:color w:val="000000"/>
          <w:szCs w:val="24"/>
          <w:lang w:eastAsia="en-US"/>
        </w:rPr>
      </w:pPr>
      <w:r w:rsidRPr="00A5224B">
        <w:rPr>
          <w:rFonts w:ascii="Helvetica" w:eastAsia="Calibri" w:hAnsi="Helvetica" w:cs="Arial"/>
          <w:color w:val="000000"/>
          <w:szCs w:val="24"/>
          <w:lang w:eastAsia="en-US"/>
        </w:rPr>
        <w:t xml:space="preserve">Making available to young people below the age of 19 and relevant young adults (i.e. those aged 20 and over but under 25 with learning difficulties) support that will encourage, enable or assist them to participate in education and training (Section 68 of the Education and Skills Act 2008) and ensure that they promote the effective participation </w:t>
      </w:r>
      <w:r w:rsidRPr="00A5224B">
        <w:rPr>
          <w:rFonts w:ascii="Helvetica" w:eastAsia="Calibri" w:hAnsi="Helvetica" w:cs="Arial"/>
          <w:color w:val="000000"/>
          <w:szCs w:val="24"/>
        </w:rPr>
        <w:t xml:space="preserve">in education or training of young person's 16-17yrs and </w:t>
      </w:r>
      <w:r w:rsidRPr="00A5224B">
        <w:rPr>
          <w:rFonts w:eastAsia="Calibri" w:cs="Arial"/>
          <w:color w:val="000000"/>
          <w:szCs w:val="24"/>
        </w:rPr>
        <w:t xml:space="preserve">make arrangements to establish (so far as it is possible to do so) the identities of those young people who are failing to fulfil the duty to participate in education or training </w:t>
      </w:r>
      <w:r w:rsidRPr="00A5224B">
        <w:rPr>
          <w:rFonts w:eastAsia="Calibri" w:cs="Arial"/>
          <w:color w:val="000000"/>
          <w:szCs w:val="24"/>
          <w:lang w:eastAsia="en-US"/>
        </w:rPr>
        <w:t xml:space="preserve">– thereby reducing the numbers of NEET young people </w:t>
      </w:r>
      <w:r w:rsidRPr="00A5224B">
        <w:rPr>
          <w:rFonts w:eastAsia="Calibri" w:cs="Arial"/>
          <w:color w:val="000000"/>
          <w:szCs w:val="24"/>
        </w:rPr>
        <w:t>(Raising the Participation Age).</w:t>
      </w:r>
    </w:p>
    <w:p w:rsidR="00D274F3" w:rsidRPr="00A5224B" w:rsidRDefault="00D274F3" w:rsidP="00D274F3">
      <w:pPr>
        <w:keepNext/>
        <w:spacing w:before="240" w:after="60"/>
        <w:outlineLvl w:val="0"/>
        <w:rPr>
          <w:rFonts w:cs="Arial"/>
          <w:b/>
          <w:bCs/>
          <w:kern w:val="32"/>
          <w:szCs w:val="24"/>
        </w:rPr>
      </w:pPr>
      <w:r w:rsidRPr="00A5224B">
        <w:rPr>
          <w:rFonts w:cs="Arial"/>
          <w:b/>
          <w:bCs/>
          <w:kern w:val="32"/>
          <w:szCs w:val="24"/>
        </w:rPr>
        <w:t>3. Current Position</w:t>
      </w:r>
    </w:p>
    <w:p w:rsidR="00D274F3" w:rsidRPr="00A5224B" w:rsidRDefault="00D274F3" w:rsidP="00D274F3">
      <w:r w:rsidRPr="00A5224B">
        <w:t xml:space="preserve">Over a period of time the services included in this model have evolved, operating in silos, often fragmenting the experience of our children, young people and families.  The resources supporting these services, including finance and staffing, are allocated inconsistently and the current governance arrangements are varied.  The services are delivered through a mixed model of both in-house and external partners (commissioning) e.g. schools and VCFS.  There are limited resources to the county council to maintain these services in the way that they currently exist.  </w:t>
      </w:r>
    </w:p>
    <w:p w:rsidR="00D274F3" w:rsidRPr="00A5224B" w:rsidRDefault="00D274F3" w:rsidP="00D274F3"/>
    <w:p w:rsidR="00D274F3" w:rsidRPr="00A5224B" w:rsidRDefault="00D274F3" w:rsidP="00D274F3">
      <w:r w:rsidRPr="00A5224B">
        <w:t xml:space="preserve">The budget across the services in 2015/16 is £24,413,125 which includes third party commissioning of some services.  </w:t>
      </w:r>
    </w:p>
    <w:p w:rsidR="00D274F3" w:rsidRPr="00A5224B" w:rsidRDefault="00D274F3" w:rsidP="00D274F3"/>
    <w:p w:rsidR="00D274F3" w:rsidRPr="00A5224B" w:rsidRDefault="00D274F3" w:rsidP="00D274F3">
      <w:r w:rsidRPr="00A5224B">
        <w:t xml:space="preserve">WPEHS has a current total staffing establishment of approximately 750 full time equivalent staff.  This includes staff currently employed by third parties in the delivery of Children Centres which are currently externally commissioned e.g. schools and VCFS (a detailed exercise is currently being undertaken to identify the exact staffing establishment which currently sits within the externally commissioned Children Centres).  </w:t>
      </w:r>
    </w:p>
    <w:p w:rsidR="00D274F3" w:rsidRPr="00A5224B" w:rsidRDefault="00D274F3" w:rsidP="00D274F3"/>
    <w:p w:rsidR="00D274F3" w:rsidRPr="00A5224B" w:rsidRDefault="00D274F3" w:rsidP="00D274F3">
      <w:r w:rsidRPr="00A5224B">
        <w:t>The current delivery arrangements include the following estate;</w:t>
      </w:r>
    </w:p>
    <w:p w:rsidR="00D274F3" w:rsidRDefault="00D274F3" w:rsidP="00D274F3">
      <w:pPr>
        <w:rPr>
          <w:b/>
        </w:rPr>
      </w:pPr>
    </w:p>
    <w:p w:rsidR="00D274F3" w:rsidRDefault="00D274F3" w:rsidP="00D274F3">
      <w:pPr>
        <w:rPr>
          <w:b/>
        </w:rPr>
      </w:pPr>
    </w:p>
    <w:p w:rsidR="00D274F3" w:rsidRDefault="00D274F3" w:rsidP="00D274F3">
      <w:pPr>
        <w:rPr>
          <w:b/>
        </w:rPr>
      </w:pPr>
    </w:p>
    <w:p w:rsidR="00D274F3" w:rsidRDefault="00D274F3" w:rsidP="00D274F3">
      <w:pPr>
        <w:rPr>
          <w:b/>
        </w:rPr>
      </w:pPr>
    </w:p>
    <w:p w:rsidR="00D274F3" w:rsidRPr="00A5224B" w:rsidRDefault="00D274F3" w:rsidP="00D274F3">
      <w:pPr>
        <w:rPr>
          <w:b/>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269"/>
        <w:gridCol w:w="1796"/>
        <w:gridCol w:w="2131"/>
      </w:tblGrid>
      <w:tr w:rsidR="00D274F3" w:rsidRPr="00A5224B" w:rsidTr="007B44D0">
        <w:tc>
          <w:tcPr>
            <w:tcW w:w="2660" w:type="pct"/>
            <w:gridSpan w:val="2"/>
            <w:shd w:val="clear" w:color="auto" w:fill="D9D9D9"/>
          </w:tcPr>
          <w:p w:rsidR="00D274F3" w:rsidRPr="00A5224B" w:rsidRDefault="00D274F3" w:rsidP="007B44D0">
            <w:pPr>
              <w:rPr>
                <w:b/>
                <w:szCs w:val="24"/>
              </w:rPr>
            </w:pPr>
            <w:r w:rsidRPr="00A5224B">
              <w:rPr>
                <w:b/>
                <w:szCs w:val="24"/>
              </w:rPr>
              <w:t>Children Centres (79)</w:t>
            </w:r>
          </w:p>
        </w:tc>
        <w:tc>
          <w:tcPr>
            <w:tcW w:w="2340" w:type="pct"/>
            <w:gridSpan w:val="2"/>
            <w:shd w:val="clear" w:color="auto" w:fill="D9D9D9"/>
          </w:tcPr>
          <w:p w:rsidR="00D274F3" w:rsidRPr="00A5224B" w:rsidRDefault="00D274F3" w:rsidP="007B44D0">
            <w:pPr>
              <w:rPr>
                <w:b/>
                <w:szCs w:val="24"/>
              </w:rPr>
            </w:pPr>
            <w:r w:rsidRPr="00A5224B">
              <w:rPr>
                <w:b/>
                <w:szCs w:val="24"/>
              </w:rPr>
              <w:t>Young People (53)</w:t>
            </w:r>
          </w:p>
        </w:tc>
      </w:tr>
      <w:tr w:rsidR="00D274F3" w:rsidRPr="00A5224B" w:rsidTr="007B44D0">
        <w:tc>
          <w:tcPr>
            <w:tcW w:w="1308" w:type="pct"/>
            <w:shd w:val="clear" w:color="auto" w:fill="auto"/>
          </w:tcPr>
          <w:p w:rsidR="00D274F3" w:rsidRPr="00A5224B" w:rsidRDefault="00D274F3" w:rsidP="007B44D0">
            <w:pPr>
              <w:rPr>
                <w:szCs w:val="24"/>
              </w:rPr>
            </w:pPr>
            <w:r w:rsidRPr="00A5224B">
              <w:rPr>
                <w:szCs w:val="24"/>
              </w:rPr>
              <w:t xml:space="preserve">61 Children Centres </w:t>
            </w:r>
          </w:p>
        </w:tc>
        <w:tc>
          <w:tcPr>
            <w:tcW w:w="1352" w:type="pct"/>
            <w:shd w:val="clear" w:color="auto" w:fill="auto"/>
          </w:tcPr>
          <w:p w:rsidR="00D274F3" w:rsidRPr="00A5224B" w:rsidRDefault="00D274F3" w:rsidP="007B44D0">
            <w:pPr>
              <w:rPr>
                <w:szCs w:val="24"/>
              </w:rPr>
            </w:pPr>
            <w:r w:rsidRPr="00A5224B">
              <w:rPr>
                <w:szCs w:val="24"/>
              </w:rPr>
              <w:t>18 Satellite Centres</w:t>
            </w:r>
          </w:p>
        </w:tc>
        <w:tc>
          <w:tcPr>
            <w:tcW w:w="1070" w:type="pct"/>
            <w:shd w:val="clear" w:color="auto" w:fill="auto"/>
          </w:tcPr>
          <w:p w:rsidR="00D274F3" w:rsidRPr="00A5224B" w:rsidRDefault="00D274F3" w:rsidP="007B44D0">
            <w:pPr>
              <w:rPr>
                <w:szCs w:val="24"/>
              </w:rPr>
            </w:pPr>
            <w:r w:rsidRPr="00A5224B">
              <w:rPr>
                <w:szCs w:val="24"/>
              </w:rPr>
              <w:t>10 Youth Zones</w:t>
            </w:r>
          </w:p>
        </w:tc>
        <w:tc>
          <w:tcPr>
            <w:tcW w:w="1270" w:type="pct"/>
            <w:shd w:val="clear" w:color="auto" w:fill="auto"/>
          </w:tcPr>
          <w:p w:rsidR="00D274F3" w:rsidRPr="00A5224B" w:rsidRDefault="00D274F3" w:rsidP="007B44D0">
            <w:pPr>
              <w:rPr>
                <w:szCs w:val="24"/>
              </w:rPr>
            </w:pPr>
            <w:r w:rsidRPr="00A5224B">
              <w:rPr>
                <w:szCs w:val="24"/>
              </w:rPr>
              <w:t>43 Young people's centres</w:t>
            </w:r>
          </w:p>
        </w:tc>
      </w:tr>
      <w:tr w:rsidR="00D274F3" w:rsidRPr="00A5224B" w:rsidTr="007B44D0">
        <w:tc>
          <w:tcPr>
            <w:tcW w:w="1308" w:type="pct"/>
            <w:shd w:val="clear" w:color="auto" w:fill="auto"/>
          </w:tcPr>
          <w:p w:rsidR="00D274F3" w:rsidRPr="00A5224B" w:rsidRDefault="00D274F3" w:rsidP="007B44D0">
            <w:pPr>
              <w:rPr>
                <w:szCs w:val="24"/>
              </w:rPr>
            </w:pPr>
            <w:r w:rsidRPr="00A5224B">
              <w:rPr>
                <w:szCs w:val="24"/>
              </w:rPr>
              <w:t>51 LCC Managed Centres</w:t>
            </w:r>
          </w:p>
        </w:tc>
        <w:tc>
          <w:tcPr>
            <w:tcW w:w="1352" w:type="pct"/>
            <w:shd w:val="clear" w:color="auto" w:fill="auto"/>
          </w:tcPr>
          <w:p w:rsidR="00D274F3" w:rsidRPr="00A5224B" w:rsidRDefault="00D274F3" w:rsidP="007B44D0">
            <w:pPr>
              <w:rPr>
                <w:szCs w:val="24"/>
              </w:rPr>
            </w:pPr>
            <w:r w:rsidRPr="00A5224B">
              <w:rPr>
                <w:szCs w:val="24"/>
              </w:rPr>
              <w:t>28 Externally Commissioned</w:t>
            </w:r>
          </w:p>
        </w:tc>
        <w:tc>
          <w:tcPr>
            <w:tcW w:w="1070" w:type="pct"/>
            <w:shd w:val="clear" w:color="auto" w:fill="auto"/>
          </w:tcPr>
          <w:p w:rsidR="00D274F3" w:rsidRPr="00A5224B" w:rsidRDefault="00D274F3" w:rsidP="007B44D0">
            <w:pPr>
              <w:rPr>
                <w:szCs w:val="24"/>
              </w:rPr>
            </w:pPr>
            <w:r w:rsidRPr="00A5224B">
              <w:rPr>
                <w:szCs w:val="24"/>
              </w:rPr>
              <w:t>10 LCC Managed</w:t>
            </w:r>
          </w:p>
        </w:tc>
        <w:tc>
          <w:tcPr>
            <w:tcW w:w="1270" w:type="pct"/>
            <w:shd w:val="clear" w:color="auto" w:fill="auto"/>
          </w:tcPr>
          <w:p w:rsidR="00D274F3" w:rsidRPr="00A5224B" w:rsidRDefault="00D274F3" w:rsidP="007B44D0">
            <w:pPr>
              <w:rPr>
                <w:szCs w:val="24"/>
              </w:rPr>
            </w:pPr>
            <w:r w:rsidRPr="00A5224B">
              <w:rPr>
                <w:szCs w:val="24"/>
              </w:rPr>
              <w:t>43 LCC Managed</w:t>
            </w:r>
          </w:p>
        </w:tc>
      </w:tr>
    </w:tbl>
    <w:p w:rsidR="00D274F3" w:rsidRDefault="00D274F3" w:rsidP="00D274F3"/>
    <w:p w:rsidR="00D274F3" w:rsidRDefault="00D274F3" w:rsidP="00D274F3">
      <w:pPr>
        <w:rPr>
          <w:b/>
        </w:rPr>
      </w:pPr>
    </w:p>
    <w:p w:rsidR="00D274F3" w:rsidRPr="00A5224B" w:rsidRDefault="00D274F3" w:rsidP="00D274F3">
      <w:pPr>
        <w:rPr>
          <w:b/>
        </w:rPr>
      </w:pPr>
      <w:r w:rsidRPr="00A5224B">
        <w:rPr>
          <w:b/>
        </w:rPr>
        <w:t>4. What is the service offer?</w:t>
      </w:r>
    </w:p>
    <w:p w:rsidR="00D274F3" w:rsidRDefault="00D274F3" w:rsidP="00D274F3">
      <w:pPr>
        <w:rPr>
          <w:rFonts w:cs="Arial"/>
          <w:szCs w:val="24"/>
        </w:rPr>
      </w:pPr>
      <w:r>
        <w:rPr>
          <w:rFonts w:cs="Arial"/>
          <w:szCs w:val="24"/>
        </w:rPr>
        <w:t>T</w:t>
      </w:r>
      <w:r w:rsidRPr="000F2A20">
        <w:rPr>
          <w:rFonts w:cs="Arial"/>
          <w:szCs w:val="24"/>
        </w:rPr>
        <w:t xml:space="preserve">he service </w:t>
      </w:r>
      <w:r>
        <w:rPr>
          <w:rFonts w:cs="Arial"/>
          <w:szCs w:val="24"/>
        </w:rPr>
        <w:t>will</w:t>
      </w:r>
      <w:r w:rsidRPr="000F2A20">
        <w:rPr>
          <w:rFonts w:cs="Arial"/>
          <w:szCs w:val="24"/>
        </w:rPr>
        <w:t xml:space="preserve"> </w:t>
      </w:r>
      <w:r w:rsidRPr="00E47C11">
        <w:rPr>
          <w:rFonts w:cs="Arial"/>
          <w:szCs w:val="24"/>
        </w:rPr>
        <w:t>be delivered through a defined network of n</w:t>
      </w:r>
      <w:r>
        <w:rPr>
          <w:rFonts w:cs="Arial"/>
          <w:szCs w:val="24"/>
        </w:rPr>
        <w:t>eighbourhood c</w:t>
      </w:r>
      <w:r w:rsidRPr="00E47C11">
        <w:rPr>
          <w:rFonts w:cs="Arial"/>
          <w:szCs w:val="24"/>
        </w:rPr>
        <w:t>entres across the 34 service planning areas</w:t>
      </w:r>
      <w:r>
        <w:rPr>
          <w:rFonts w:cs="Arial"/>
          <w:szCs w:val="24"/>
        </w:rPr>
        <w:t xml:space="preserve"> as referenced in the draft corporate strategy, and will continue to respond</w:t>
      </w:r>
      <w:r w:rsidRPr="000F2A20">
        <w:rPr>
          <w:rFonts w:cs="Arial"/>
          <w:szCs w:val="24"/>
        </w:rPr>
        <w:t xml:space="preserve"> to key</w:t>
      </w:r>
      <w:r>
        <w:rPr>
          <w:rFonts w:cs="Arial"/>
          <w:szCs w:val="24"/>
        </w:rPr>
        <w:t xml:space="preserve"> </w:t>
      </w:r>
      <w:r w:rsidRPr="000F2A20">
        <w:rPr>
          <w:rFonts w:cs="Arial"/>
          <w:szCs w:val="24"/>
        </w:rPr>
        <w:t>performance indicators, statutory duties and local</w:t>
      </w:r>
      <w:r>
        <w:rPr>
          <w:rFonts w:cs="Arial"/>
          <w:szCs w:val="24"/>
        </w:rPr>
        <w:t xml:space="preserve"> </w:t>
      </w:r>
      <w:r w:rsidRPr="000F2A20">
        <w:rPr>
          <w:rFonts w:cs="Arial"/>
          <w:szCs w:val="24"/>
        </w:rPr>
        <w:t>prioriti</w:t>
      </w:r>
      <w:r>
        <w:rPr>
          <w:rFonts w:cs="Arial"/>
          <w:szCs w:val="24"/>
        </w:rPr>
        <w:t xml:space="preserve">es to improve outcomes for children, </w:t>
      </w:r>
      <w:r w:rsidRPr="000F2A20">
        <w:rPr>
          <w:rFonts w:cs="Arial"/>
          <w:szCs w:val="24"/>
        </w:rPr>
        <w:t>young people and</w:t>
      </w:r>
      <w:r>
        <w:rPr>
          <w:rFonts w:cs="Arial"/>
          <w:szCs w:val="24"/>
        </w:rPr>
        <w:t xml:space="preserve"> their families.  </w:t>
      </w:r>
    </w:p>
    <w:p w:rsidR="00D274F3" w:rsidRDefault="00D274F3" w:rsidP="00D274F3">
      <w:pPr>
        <w:rPr>
          <w:rFonts w:cs="Arial"/>
          <w:szCs w:val="24"/>
        </w:rPr>
      </w:pPr>
    </w:p>
    <w:p w:rsidR="00D274F3" w:rsidRDefault="00D274F3" w:rsidP="00D274F3">
      <w:pPr>
        <w:autoSpaceDE w:val="0"/>
        <w:autoSpaceDN w:val="0"/>
        <w:adjustRightInd w:val="0"/>
        <w:ind w:right="-23"/>
        <w:rPr>
          <w:rFonts w:cs="Arial"/>
          <w:szCs w:val="24"/>
        </w:rPr>
      </w:pPr>
      <w:r>
        <w:rPr>
          <w:rFonts w:cs="Arial"/>
          <w:szCs w:val="24"/>
        </w:rPr>
        <w:t>The service</w:t>
      </w:r>
      <w:r w:rsidRPr="00E35DFF">
        <w:rPr>
          <w:rFonts w:cs="Arial"/>
          <w:szCs w:val="24"/>
        </w:rPr>
        <w:t xml:space="preserve"> will adopt a whole family approach to its work, working with children and young people across the 0-19yr+ age range (including young people up to 25yrs with SEND</w:t>
      </w:r>
      <w:r w:rsidRPr="00015FFD">
        <w:rPr>
          <w:rFonts w:cs="Arial"/>
          <w:szCs w:val="24"/>
        </w:rPr>
        <w:t xml:space="preserve">).  </w:t>
      </w:r>
    </w:p>
    <w:p w:rsidR="00D274F3" w:rsidRDefault="00D274F3" w:rsidP="00D274F3">
      <w:pPr>
        <w:autoSpaceDE w:val="0"/>
        <w:autoSpaceDN w:val="0"/>
        <w:adjustRightInd w:val="0"/>
        <w:ind w:right="-23"/>
        <w:rPr>
          <w:rFonts w:cs="Arial"/>
          <w:szCs w:val="24"/>
        </w:rPr>
      </w:pPr>
    </w:p>
    <w:p w:rsidR="00D274F3" w:rsidRDefault="00D274F3" w:rsidP="00D274F3">
      <w:pPr>
        <w:autoSpaceDE w:val="0"/>
        <w:autoSpaceDN w:val="0"/>
        <w:adjustRightInd w:val="0"/>
        <w:ind w:right="-23"/>
        <w:rPr>
          <w:rFonts w:cs="Arial"/>
          <w:szCs w:val="24"/>
        </w:rPr>
      </w:pPr>
      <w:r>
        <w:rPr>
          <w:rFonts w:cs="Arial"/>
          <w:szCs w:val="24"/>
        </w:rPr>
        <w:t>Key principles of the service offer include:</w:t>
      </w:r>
    </w:p>
    <w:p w:rsidR="00D274F3" w:rsidRDefault="00D274F3" w:rsidP="00D274F3">
      <w:pPr>
        <w:pStyle w:val="ListParagraph"/>
        <w:numPr>
          <w:ilvl w:val="0"/>
          <w:numId w:val="5"/>
        </w:numPr>
        <w:autoSpaceDE w:val="0"/>
        <w:autoSpaceDN w:val="0"/>
        <w:adjustRightInd w:val="0"/>
        <w:spacing w:after="0" w:line="240" w:lineRule="auto"/>
        <w:ind w:right="-23"/>
        <w:rPr>
          <w:rFonts w:ascii="Arial" w:hAnsi="Arial" w:cs="Arial"/>
          <w:sz w:val="24"/>
          <w:szCs w:val="24"/>
        </w:rPr>
      </w:pPr>
      <w:r w:rsidRPr="00E35DFF">
        <w:rPr>
          <w:rFonts w:ascii="Arial" w:hAnsi="Arial" w:cs="Arial"/>
          <w:sz w:val="24"/>
          <w:szCs w:val="24"/>
        </w:rPr>
        <w:t>Creating integration of service functions to streamline the response to families</w:t>
      </w:r>
    </w:p>
    <w:p w:rsidR="00D274F3" w:rsidRDefault="00D274F3" w:rsidP="00D274F3">
      <w:pPr>
        <w:pStyle w:val="ListParagraph"/>
        <w:numPr>
          <w:ilvl w:val="0"/>
          <w:numId w:val="5"/>
        </w:numPr>
        <w:autoSpaceDE w:val="0"/>
        <w:autoSpaceDN w:val="0"/>
        <w:adjustRightInd w:val="0"/>
        <w:spacing w:after="0" w:line="240" w:lineRule="auto"/>
        <w:ind w:right="-23"/>
        <w:rPr>
          <w:rFonts w:ascii="Arial" w:hAnsi="Arial" w:cs="Arial"/>
          <w:sz w:val="24"/>
          <w:szCs w:val="24"/>
        </w:rPr>
      </w:pPr>
      <w:r w:rsidRPr="006B1227">
        <w:rPr>
          <w:rFonts w:ascii="Arial" w:hAnsi="Arial" w:cs="Arial"/>
          <w:sz w:val="24"/>
          <w:szCs w:val="24"/>
        </w:rPr>
        <w:t>Targeting and prioritising resources towards working with children, young people, families and communities most in need</w:t>
      </w:r>
      <w:r>
        <w:rPr>
          <w:rFonts w:ascii="Arial" w:hAnsi="Arial" w:cs="Arial"/>
          <w:sz w:val="24"/>
          <w:szCs w:val="24"/>
        </w:rPr>
        <w:t xml:space="preserve"> of the councils help</w:t>
      </w:r>
    </w:p>
    <w:p w:rsidR="00D274F3" w:rsidRDefault="00D274F3" w:rsidP="00D274F3">
      <w:pPr>
        <w:rPr>
          <w:rFonts w:cs="Arial"/>
          <w:szCs w:val="24"/>
        </w:rPr>
      </w:pPr>
    </w:p>
    <w:p w:rsidR="00D274F3" w:rsidRDefault="00D274F3" w:rsidP="00D274F3">
      <w:pPr>
        <w:rPr>
          <w:bCs/>
        </w:rPr>
      </w:pPr>
      <w:r w:rsidRPr="00E35DFF">
        <w:rPr>
          <w:rFonts w:cs="Arial"/>
          <w:szCs w:val="24"/>
        </w:rPr>
        <w:t>The service will</w:t>
      </w:r>
      <w:r w:rsidRPr="00E35DFF">
        <w:rPr>
          <w:bCs/>
        </w:rPr>
        <w:t xml:space="preserve"> identify as early as possible when a child or family needs support, helping them to access services </w:t>
      </w:r>
      <w:r>
        <w:rPr>
          <w:bCs/>
        </w:rPr>
        <w:t>to meet their needs, and work</w:t>
      </w:r>
      <w:r w:rsidRPr="00E35DFF">
        <w:rPr>
          <w:bCs/>
        </w:rPr>
        <w:t xml:space="preserve"> together to ensure that this has maximum impact o</w:t>
      </w:r>
      <w:r>
        <w:rPr>
          <w:bCs/>
        </w:rPr>
        <w:t xml:space="preserve">n achieving positive outcomes, </w:t>
      </w:r>
      <w:r w:rsidRPr="00E35DFF">
        <w:rPr>
          <w:bCs/>
        </w:rPr>
        <w:t xml:space="preserve">offering the right help, in the right place, at the right time.  </w:t>
      </w:r>
    </w:p>
    <w:p w:rsidR="00D274F3" w:rsidRDefault="00D274F3" w:rsidP="00D274F3">
      <w:pPr>
        <w:rPr>
          <w:bCs/>
        </w:rPr>
      </w:pPr>
    </w:p>
    <w:p w:rsidR="00D274F3" w:rsidRDefault="00D274F3" w:rsidP="00D274F3">
      <w:pPr>
        <w:rPr>
          <w:rFonts w:cs="Arial"/>
          <w:szCs w:val="24"/>
        </w:rPr>
      </w:pPr>
      <w:r>
        <w:rPr>
          <w:rFonts w:cs="Arial"/>
          <w:szCs w:val="24"/>
        </w:rPr>
        <w:t>The service will offer an enhanced level of support to families through staff with a social work qualification.</w:t>
      </w:r>
    </w:p>
    <w:p w:rsidR="00D274F3" w:rsidRDefault="00D274F3" w:rsidP="00D274F3">
      <w:pPr>
        <w:rPr>
          <w:bCs/>
        </w:rPr>
      </w:pPr>
    </w:p>
    <w:p w:rsidR="00D274F3" w:rsidRDefault="00D274F3" w:rsidP="00D274F3">
      <w:pPr>
        <w:rPr>
          <w:bCs/>
        </w:rPr>
      </w:pPr>
      <w:r>
        <w:rPr>
          <w:bCs/>
        </w:rPr>
        <w:t>The service offer based on the need and the resources available are described in the table below.</w:t>
      </w:r>
    </w:p>
    <w:p w:rsidR="00D274F3" w:rsidRDefault="00D274F3" w:rsidP="00D274F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3"/>
        <w:gridCol w:w="3685"/>
        <w:gridCol w:w="3686"/>
      </w:tblGrid>
      <w:tr w:rsidR="00D274F3" w:rsidRPr="00AD0B41" w:rsidTr="007B44D0">
        <w:trPr>
          <w:trHeight w:val="104"/>
        </w:trPr>
        <w:tc>
          <w:tcPr>
            <w:tcW w:w="2093" w:type="dxa"/>
            <w:shd w:val="clear" w:color="auto" w:fill="D9D9D9"/>
            <w:hideMark/>
          </w:tcPr>
          <w:p w:rsidR="00D274F3" w:rsidRPr="00AD0B41" w:rsidRDefault="00D274F3" w:rsidP="007B44D0">
            <w:pPr>
              <w:pStyle w:val="ListParagraph"/>
              <w:autoSpaceDE w:val="0"/>
              <w:autoSpaceDN w:val="0"/>
              <w:adjustRightInd w:val="0"/>
              <w:spacing w:after="0" w:line="240" w:lineRule="auto"/>
              <w:ind w:left="130" w:right="-23"/>
              <w:rPr>
                <w:rFonts w:ascii="Arial" w:hAnsi="Arial" w:cs="Arial"/>
                <w:sz w:val="24"/>
                <w:szCs w:val="24"/>
              </w:rPr>
            </w:pPr>
            <w:r w:rsidRPr="00AD0B41">
              <w:rPr>
                <w:rFonts w:ascii="Arial" w:hAnsi="Arial" w:cs="Arial"/>
                <w:b/>
                <w:bCs/>
                <w:sz w:val="24"/>
                <w:szCs w:val="24"/>
              </w:rPr>
              <w:t>Continuum of Need</w:t>
            </w:r>
            <w:r>
              <w:rPr>
                <w:rFonts w:ascii="Arial" w:hAnsi="Arial" w:cs="Arial"/>
                <w:b/>
                <w:bCs/>
                <w:sz w:val="24"/>
                <w:szCs w:val="24"/>
              </w:rPr>
              <w:t xml:space="preserve"> (Level)</w:t>
            </w:r>
          </w:p>
        </w:tc>
        <w:tc>
          <w:tcPr>
            <w:tcW w:w="3685" w:type="dxa"/>
            <w:shd w:val="clear" w:color="auto" w:fill="D9D9D9"/>
            <w:hideMark/>
          </w:tcPr>
          <w:p w:rsidR="00D274F3" w:rsidRPr="00AD0B41" w:rsidRDefault="00D274F3" w:rsidP="007B44D0">
            <w:pPr>
              <w:pStyle w:val="ListParagraph"/>
              <w:autoSpaceDE w:val="0"/>
              <w:autoSpaceDN w:val="0"/>
              <w:adjustRightInd w:val="0"/>
              <w:spacing w:after="0" w:line="240" w:lineRule="auto"/>
              <w:ind w:right="-23"/>
              <w:rPr>
                <w:rFonts w:ascii="Arial" w:hAnsi="Arial" w:cs="Arial"/>
                <w:sz w:val="24"/>
                <w:szCs w:val="24"/>
              </w:rPr>
            </w:pPr>
            <w:r w:rsidRPr="00AD0B41">
              <w:rPr>
                <w:rFonts w:ascii="Arial" w:hAnsi="Arial" w:cs="Arial"/>
                <w:b/>
                <w:bCs/>
                <w:sz w:val="24"/>
                <w:szCs w:val="24"/>
              </w:rPr>
              <w:t>Service offer</w:t>
            </w:r>
          </w:p>
        </w:tc>
        <w:tc>
          <w:tcPr>
            <w:tcW w:w="3686" w:type="dxa"/>
            <w:shd w:val="clear" w:color="auto" w:fill="D9D9D9"/>
            <w:hideMark/>
          </w:tcPr>
          <w:p w:rsidR="00D274F3" w:rsidRPr="00AD0B41" w:rsidRDefault="00D274F3" w:rsidP="007B44D0">
            <w:pPr>
              <w:pStyle w:val="ListParagraph"/>
              <w:autoSpaceDE w:val="0"/>
              <w:autoSpaceDN w:val="0"/>
              <w:adjustRightInd w:val="0"/>
              <w:spacing w:after="0" w:line="240" w:lineRule="auto"/>
              <w:ind w:right="-23"/>
              <w:rPr>
                <w:rFonts w:ascii="Arial" w:hAnsi="Arial" w:cs="Arial"/>
                <w:sz w:val="24"/>
                <w:szCs w:val="24"/>
              </w:rPr>
            </w:pPr>
            <w:r w:rsidRPr="00AD0B41">
              <w:rPr>
                <w:rFonts w:ascii="Arial" w:hAnsi="Arial" w:cs="Arial"/>
                <w:b/>
                <w:bCs/>
                <w:sz w:val="24"/>
                <w:szCs w:val="24"/>
              </w:rPr>
              <w:t>Resources</w:t>
            </w:r>
          </w:p>
        </w:tc>
      </w:tr>
      <w:tr w:rsidR="00D274F3" w:rsidRPr="00AD0B41" w:rsidTr="007B44D0">
        <w:trPr>
          <w:trHeight w:val="2823"/>
        </w:trPr>
        <w:tc>
          <w:tcPr>
            <w:tcW w:w="2093" w:type="dxa"/>
            <w:shd w:val="clear" w:color="auto" w:fill="auto"/>
            <w:hideMark/>
          </w:tcPr>
          <w:p w:rsidR="00D274F3" w:rsidRDefault="00D274F3" w:rsidP="007B44D0">
            <w:pPr>
              <w:pStyle w:val="ListParagraph"/>
              <w:autoSpaceDE w:val="0"/>
              <w:autoSpaceDN w:val="0"/>
              <w:adjustRightInd w:val="0"/>
              <w:spacing w:after="0" w:line="240" w:lineRule="auto"/>
              <w:ind w:left="130" w:right="-23"/>
              <w:rPr>
                <w:rFonts w:ascii="Arial" w:hAnsi="Arial" w:cs="Arial"/>
                <w:sz w:val="24"/>
                <w:szCs w:val="24"/>
              </w:rPr>
            </w:pPr>
            <w:r w:rsidRPr="00AD0B41">
              <w:rPr>
                <w:rFonts w:ascii="Arial" w:hAnsi="Arial" w:cs="Arial"/>
                <w:sz w:val="24"/>
                <w:szCs w:val="24"/>
              </w:rPr>
              <w:t>Universal</w:t>
            </w:r>
            <w:r>
              <w:rPr>
                <w:rFonts w:ascii="Arial" w:hAnsi="Arial" w:cs="Arial"/>
                <w:sz w:val="24"/>
                <w:szCs w:val="24"/>
              </w:rPr>
              <w:t xml:space="preserve"> </w:t>
            </w:r>
          </w:p>
          <w:p w:rsidR="00D274F3" w:rsidRPr="00AD0B41" w:rsidRDefault="00D274F3" w:rsidP="007B44D0">
            <w:pPr>
              <w:pStyle w:val="ListParagraph"/>
              <w:autoSpaceDE w:val="0"/>
              <w:autoSpaceDN w:val="0"/>
              <w:adjustRightInd w:val="0"/>
              <w:spacing w:after="0" w:line="240" w:lineRule="auto"/>
              <w:ind w:left="130" w:right="-23"/>
              <w:rPr>
                <w:rFonts w:ascii="Arial" w:hAnsi="Arial" w:cs="Arial"/>
                <w:sz w:val="24"/>
                <w:szCs w:val="24"/>
              </w:rPr>
            </w:pPr>
            <w:r>
              <w:rPr>
                <w:rFonts w:ascii="Arial" w:hAnsi="Arial" w:cs="Arial"/>
                <w:sz w:val="24"/>
                <w:szCs w:val="24"/>
              </w:rPr>
              <w:t xml:space="preserve">(Levels </w:t>
            </w:r>
            <w:r w:rsidRPr="00AD0B41">
              <w:rPr>
                <w:rFonts w:ascii="Arial" w:hAnsi="Arial" w:cs="Arial"/>
                <w:sz w:val="24"/>
                <w:szCs w:val="24"/>
              </w:rPr>
              <w:t>0</w:t>
            </w:r>
            <w:r>
              <w:rPr>
                <w:rFonts w:ascii="Arial" w:hAnsi="Arial" w:cs="Arial"/>
                <w:sz w:val="24"/>
                <w:szCs w:val="24"/>
              </w:rPr>
              <w:t xml:space="preserve">, </w:t>
            </w:r>
            <w:r w:rsidRPr="00AD0B41">
              <w:rPr>
                <w:rFonts w:ascii="Arial" w:hAnsi="Arial" w:cs="Arial"/>
                <w:sz w:val="24"/>
                <w:szCs w:val="24"/>
              </w:rPr>
              <w:t>1</w:t>
            </w:r>
            <w:r>
              <w:rPr>
                <w:rFonts w:ascii="Arial" w:hAnsi="Arial" w:cs="Arial"/>
                <w:sz w:val="24"/>
                <w:szCs w:val="24"/>
              </w:rPr>
              <w:t>, 2)</w:t>
            </w:r>
          </w:p>
        </w:tc>
        <w:tc>
          <w:tcPr>
            <w:tcW w:w="3685" w:type="dxa"/>
            <w:shd w:val="clear" w:color="auto" w:fill="auto"/>
            <w:hideMark/>
          </w:tcPr>
          <w:p w:rsidR="00D274F3" w:rsidRPr="00AD0B41"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AD0B41">
              <w:rPr>
                <w:rFonts w:ascii="Arial" w:hAnsi="Arial" w:cs="Arial"/>
                <w:sz w:val="24"/>
                <w:szCs w:val="24"/>
              </w:rPr>
              <w:t>Registration of births and early identification of vulnerable CYP &amp; Families</w:t>
            </w:r>
          </w:p>
          <w:p w:rsidR="00D274F3" w:rsidRPr="00AD0B41"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AD0B41">
              <w:rPr>
                <w:rFonts w:ascii="Arial" w:hAnsi="Arial" w:cs="Arial"/>
                <w:sz w:val="24"/>
                <w:szCs w:val="24"/>
              </w:rPr>
              <w:t xml:space="preserve">Information, advice and guidance to young people </w:t>
            </w:r>
          </w:p>
          <w:p w:rsidR="00D274F3" w:rsidRPr="00AD0B41"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AD0B41">
              <w:rPr>
                <w:rFonts w:ascii="Arial" w:hAnsi="Arial" w:cs="Arial"/>
                <w:sz w:val="24"/>
                <w:szCs w:val="24"/>
              </w:rPr>
              <w:t xml:space="preserve">Strengthening community resilience </w:t>
            </w:r>
          </w:p>
        </w:tc>
        <w:tc>
          <w:tcPr>
            <w:tcW w:w="3686" w:type="dxa"/>
            <w:shd w:val="clear" w:color="auto" w:fill="auto"/>
            <w:hideMark/>
          </w:tcPr>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Community/ voluntary networks</w:t>
            </w:r>
          </w:p>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Public Health advice and guidance</w:t>
            </w:r>
          </w:p>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Partner organisations i.e. schools etc.</w:t>
            </w:r>
          </w:p>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Health visitors, school nurses</w:t>
            </w:r>
          </w:p>
          <w:p w:rsidR="00D274F3"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 xml:space="preserve">Public Health services commissioned </w:t>
            </w:r>
          </w:p>
          <w:p w:rsidR="00D274F3"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through third parties</w:t>
            </w:r>
          </w:p>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p>
        </w:tc>
      </w:tr>
      <w:tr w:rsidR="00D274F3" w:rsidRPr="00AD0B41" w:rsidTr="007B44D0">
        <w:trPr>
          <w:trHeight w:val="1356"/>
        </w:trPr>
        <w:tc>
          <w:tcPr>
            <w:tcW w:w="2093" w:type="dxa"/>
            <w:shd w:val="clear" w:color="auto" w:fill="auto"/>
            <w:hideMark/>
          </w:tcPr>
          <w:p w:rsidR="00D274F3" w:rsidRDefault="00D274F3" w:rsidP="007B44D0">
            <w:pPr>
              <w:pStyle w:val="ListParagraph"/>
              <w:autoSpaceDE w:val="0"/>
              <w:autoSpaceDN w:val="0"/>
              <w:adjustRightInd w:val="0"/>
              <w:spacing w:after="0" w:line="240" w:lineRule="auto"/>
              <w:ind w:left="130" w:right="-23"/>
              <w:rPr>
                <w:rFonts w:ascii="Arial" w:hAnsi="Arial" w:cs="Arial"/>
                <w:sz w:val="24"/>
                <w:szCs w:val="24"/>
              </w:rPr>
            </w:pPr>
            <w:r w:rsidRPr="00AD0B41">
              <w:rPr>
                <w:rFonts w:ascii="Arial" w:hAnsi="Arial" w:cs="Arial"/>
                <w:sz w:val="24"/>
                <w:szCs w:val="24"/>
              </w:rPr>
              <w:lastRenderedPageBreak/>
              <w:t>Targeted Early Help</w:t>
            </w:r>
            <w:r>
              <w:rPr>
                <w:rFonts w:ascii="Arial" w:hAnsi="Arial" w:cs="Arial"/>
                <w:sz w:val="24"/>
                <w:szCs w:val="24"/>
              </w:rPr>
              <w:t xml:space="preserve"> </w:t>
            </w:r>
          </w:p>
          <w:p w:rsidR="00D274F3" w:rsidRPr="00AD0B41" w:rsidRDefault="00D274F3" w:rsidP="007B44D0">
            <w:pPr>
              <w:pStyle w:val="ListParagraph"/>
              <w:autoSpaceDE w:val="0"/>
              <w:autoSpaceDN w:val="0"/>
              <w:adjustRightInd w:val="0"/>
              <w:spacing w:after="0" w:line="240" w:lineRule="auto"/>
              <w:ind w:left="130" w:right="-23"/>
              <w:rPr>
                <w:rFonts w:ascii="Arial" w:hAnsi="Arial" w:cs="Arial"/>
                <w:sz w:val="24"/>
                <w:szCs w:val="24"/>
              </w:rPr>
            </w:pPr>
            <w:r>
              <w:rPr>
                <w:rFonts w:ascii="Arial" w:hAnsi="Arial" w:cs="Arial"/>
                <w:sz w:val="24"/>
                <w:szCs w:val="24"/>
              </w:rPr>
              <w:t>(Levels</w:t>
            </w:r>
            <w:r w:rsidRPr="00AD0B41">
              <w:rPr>
                <w:rFonts w:ascii="Arial" w:hAnsi="Arial" w:cs="Arial"/>
                <w:sz w:val="24"/>
                <w:szCs w:val="24"/>
              </w:rPr>
              <w:t xml:space="preserve"> 3,</w:t>
            </w:r>
            <w:r>
              <w:rPr>
                <w:rFonts w:ascii="Arial" w:hAnsi="Arial" w:cs="Arial"/>
                <w:sz w:val="24"/>
                <w:szCs w:val="24"/>
              </w:rPr>
              <w:t xml:space="preserve"> 4a)</w:t>
            </w:r>
          </w:p>
        </w:tc>
        <w:tc>
          <w:tcPr>
            <w:tcW w:w="3685" w:type="dxa"/>
            <w:shd w:val="clear" w:color="auto" w:fill="auto"/>
            <w:hideMark/>
          </w:tcPr>
          <w:p w:rsidR="00D274F3" w:rsidRPr="00AD0B41"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AD0B41">
              <w:rPr>
                <w:rFonts w:ascii="Arial" w:hAnsi="Arial" w:cs="Arial"/>
                <w:sz w:val="24"/>
                <w:szCs w:val="24"/>
              </w:rPr>
              <w:t>Lead professional model delivering targeted 1-1 and group support for children, young people &amp; families, Troubled Family Unit, Family Nurse Partnership, Not in Education/Employment/Training, Children with Disabilities criteria.</w:t>
            </w:r>
          </w:p>
          <w:p w:rsidR="00D274F3"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AD0B41">
              <w:rPr>
                <w:rFonts w:ascii="Arial" w:hAnsi="Arial" w:cs="Arial"/>
                <w:sz w:val="24"/>
                <w:szCs w:val="24"/>
              </w:rPr>
              <w:t>Integrated Wellbeing Worker Service</w:t>
            </w:r>
          </w:p>
          <w:p w:rsidR="00D274F3" w:rsidRPr="00AD0B41" w:rsidRDefault="00D274F3" w:rsidP="007B44D0">
            <w:pPr>
              <w:pStyle w:val="ListParagraph"/>
              <w:autoSpaceDE w:val="0"/>
              <w:autoSpaceDN w:val="0"/>
              <w:adjustRightInd w:val="0"/>
              <w:spacing w:after="0" w:line="240" w:lineRule="auto"/>
              <w:ind w:left="0" w:right="-23"/>
              <w:rPr>
                <w:rFonts w:ascii="Arial" w:hAnsi="Arial" w:cs="Arial"/>
                <w:sz w:val="24"/>
                <w:szCs w:val="24"/>
              </w:rPr>
            </w:pPr>
            <w:r>
              <w:rPr>
                <w:rFonts w:ascii="Arial" w:hAnsi="Arial" w:cs="Arial"/>
                <w:sz w:val="24"/>
                <w:szCs w:val="24"/>
              </w:rPr>
              <w:t xml:space="preserve">NB: </w:t>
            </w:r>
            <w:r w:rsidRPr="007411EF">
              <w:rPr>
                <w:rFonts w:ascii="Arial" w:hAnsi="Arial" w:cs="Arial"/>
                <w:sz w:val="24"/>
                <w:szCs w:val="24"/>
              </w:rPr>
              <w:t xml:space="preserve">This will be in addition to the Children Social Care Strategy for </w:t>
            </w:r>
            <w:proofErr w:type="spellStart"/>
            <w:r w:rsidRPr="007411EF">
              <w:rPr>
                <w:rFonts w:ascii="Arial" w:hAnsi="Arial" w:cs="Arial"/>
                <w:sz w:val="24"/>
                <w:szCs w:val="24"/>
              </w:rPr>
              <w:t>CiN</w:t>
            </w:r>
            <w:proofErr w:type="spellEnd"/>
          </w:p>
        </w:tc>
        <w:tc>
          <w:tcPr>
            <w:tcW w:w="3686" w:type="dxa"/>
            <w:shd w:val="clear" w:color="auto" w:fill="auto"/>
            <w:hideMark/>
          </w:tcPr>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Wellbeing, Prevention &amp; Early Help</w:t>
            </w:r>
          </w:p>
          <w:p w:rsidR="00D274F3"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 xml:space="preserve">Public Health services commissioned </w:t>
            </w:r>
          </w:p>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through third parties</w:t>
            </w:r>
          </w:p>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Health visitors, school nurses</w:t>
            </w:r>
          </w:p>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p>
        </w:tc>
      </w:tr>
      <w:tr w:rsidR="00D274F3" w:rsidRPr="00AD0B41" w:rsidTr="007B44D0">
        <w:trPr>
          <w:trHeight w:val="525"/>
        </w:trPr>
        <w:tc>
          <w:tcPr>
            <w:tcW w:w="2093" w:type="dxa"/>
            <w:shd w:val="clear" w:color="auto" w:fill="auto"/>
            <w:hideMark/>
          </w:tcPr>
          <w:p w:rsidR="00D274F3" w:rsidRPr="00AD0B41" w:rsidRDefault="00D274F3" w:rsidP="007B44D0">
            <w:pPr>
              <w:pStyle w:val="ListParagraph"/>
              <w:autoSpaceDE w:val="0"/>
              <w:autoSpaceDN w:val="0"/>
              <w:adjustRightInd w:val="0"/>
              <w:spacing w:after="0" w:line="240" w:lineRule="auto"/>
              <w:ind w:left="130" w:right="-23"/>
              <w:rPr>
                <w:rFonts w:ascii="Arial" w:hAnsi="Arial" w:cs="Arial"/>
                <w:sz w:val="24"/>
                <w:szCs w:val="24"/>
              </w:rPr>
            </w:pPr>
            <w:r w:rsidRPr="00AD0B41">
              <w:rPr>
                <w:rFonts w:ascii="Arial" w:hAnsi="Arial" w:cs="Arial"/>
                <w:sz w:val="24"/>
                <w:szCs w:val="24"/>
              </w:rPr>
              <w:t>Statutory services</w:t>
            </w:r>
          </w:p>
          <w:p w:rsidR="00D274F3" w:rsidRDefault="00D274F3" w:rsidP="007B44D0">
            <w:pPr>
              <w:pStyle w:val="ListParagraph"/>
              <w:autoSpaceDE w:val="0"/>
              <w:autoSpaceDN w:val="0"/>
              <w:adjustRightInd w:val="0"/>
              <w:spacing w:after="0" w:line="240" w:lineRule="auto"/>
              <w:ind w:left="130" w:right="-23"/>
              <w:rPr>
                <w:rFonts w:ascii="Arial" w:hAnsi="Arial" w:cs="Arial"/>
                <w:sz w:val="24"/>
                <w:szCs w:val="24"/>
              </w:rPr>
            </w:pPr>
            <w:r>
              <w:rPr>
                <w:rFonts w:ascii="Arial" w:hAnsi="Arial" w:cs="Arial"/>
                <w:sz w:val="24"/>
                <w:szCs w:val="24"/>
              </w:rPr>
              <w:t>(Levels 4a,</w:t>
            </w:r>
            <w:r w:rsidRPr="00AD0B41">
              <w:rPr>
                <w:rFonts w:ascii="Arial" w:hAnsi="Arial" w:cs="Arial"/>
                <w:sz w:val="24"/>
                <w:szCs w:val="24"/>
              </w:rPr>
              <w:t>4b,4c</w:t>
            </w:r>
            <w:r>
              <w:rPr>
                <w:rFonts w:ascii="Arial" w:hAnsi="Arial" w:cs="Arial"/>
                <w:sz w:val="24"/>
                <w:szCs w:val="24"/>
              </w:rPr>
              <w:t>)</w:t>
            </w:r>
          </w:p>
          <w:p w:rsidR="00D274F3" w:rsidRPr="00AD0B41" w:rsidRDefault="00D274F3" w:rsidP="007B44D0">
            <w:pPr>
              <w:pStyle w:val="ListParagraph"/>
              <w:autoSpaceDE w:val="0"/>
              <w:autoSpaceDN w:val="0"/>
              <w:adjustRightInd w:val="0"/>
              <w:spacing w:after="0" w:line="240" w:lineRule="auto"/>
              <w:ind w:left="130" w:right="-23"/>
              <w:rPr>
                <w:rFonts w:ascii="Arial" w:hAnsi="Arial" w:cs="Arial"/>
                <w:sz w:val="24"/>
                <w:szCs w:val="24"/>
              </w:rPr>
            </w:pPr>
          </w:p>
        </w:tc>
        <w:tc>
          <w:tcPr>
            <w:tcW w:w="3685" w:type="dxa"/>
            <w:shd w:val="clear" w:color="auto" w:fill="auto"/>
            <w:hideMark/>
          </w:tcPr>
          <w:p w:rsidR="00D274F3" w:rsidRPr="00AD0B41"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AD0B41">
              <w:rPr>
                <w:rFonts w:ascii="Arial" w:hAnsi="Arial" w:cs="Arial"/>
                <w:sz w:val="24"/>
                <w:szCs w:val="24"/>
              </w:rPr>
              <w:t>Child Protection, Children Looked After</w:t>
            </w:r>
            <w:r>
              <w:rPr>
                <w:rFonts w:ascii="Arial" w:hAnsi="Arial" w:cs="Arial"/>
                <w:sz w:val="24"/>
                <w:szCs w:val="24"/>
              </w:rPr>
              <w:t>. Child in Need</w:t>
            </w:r>
          </w:p>
        </w:tc>
        <w:tc>
          <w:tcPr>
            <w:tcW w:w="3686" w:type="dxa"/>
            <w:shd w:val="clear" w:color="auto" w:fill="auto"/>
            <w:hideMark/>
          </w:tcPr>
          <w:p w:rsidR="00D274F3" w:rsidRPr="00AD0B41" w:rsidRDefault="00D274F3" w:rsidP="007B44D0">
            <w:pPr>
              <w:pStyle w:val="ListParagraph"/>
              <w:autoSpaceDE w:val="0"/>
              <w:autoSpaceDN w:val="0"/>
              <w:adjustRightInd w:val="0"/>
              <w:spacing w:after="0" w:line="240" w:lineRule="auto"/>
              <w:ind w:left="176" w:right="-23"/>
              <w:rPr>
                <w:rFonts w:ascii="Arial" w:hAnsi="Arial" w:cs="Arial"/>
                <w:sz w:val="24"/>
                <w:szCs w:val="24"/>
              </w:rPr>
            </w:pPr>
            <w:r w:rsidRPr="00AD0B41">
              <w:rPr>
                <w:rFonts w:ascii="Arial" w:hAnsi="Arial" w:cs="Arial"/>
                <w:sz w:val="24"/>
                <w:szCs w:val="24"/>
              </w:rPr>
              <w:t>S</w:t>
            </w:r>
            <w:r>
              <w:rPr>
                <w:rFonts w:ascii="Arial" w:hAnsi="Arial" w:cs="Arial"/>
                <w:sz w:val="24"/>
                <w:szCs w:val="24"/>
              </w:rPr>
              <w:t>upport to s</w:t>
            </w:r>
            <w:r w:rsidRPr="00AD0B41">
              <w:rPr>
                <w:rFonts w:ascii="Arial" w:hAnsi="Arial" w:cs="Arial"/>
                <w:sz w:val="24"/>
                <w:szCs w:val="24"/>
              </w:rPr>
              <w:t>tatutory social care services</w:t>
            </w:r>
          </w:p>
        </w:tc>
      </w:tr>
    </w:tbl>
    <w:p w:rsidR="00D274F3" w:rsidRDefault="00D274F3" w:rsidP="00D274F3"/>
    <w:p w:rsidR="00D274F3" w:rsidRPr="00061C0D" w:rsidRDefault="00D274F3" w:rsidP="00D274F3">
      <w:pPr>
        <w:rPr>
          <w:rFonts w:cs="Arial"/>
          <w:szCs w:val="24"/>
        </w:rPr>
      </w:pPr>
      <w:r w:rsidRPr="00061C0D">
        <w:rPr>
          <w:rFonts w:cs="Arial"/>
          <w:szCs w:val="24"/>
        </w:rPr>
        <w:t>Lancashire Continuum of Need (</w:t>
      </w:r>
      <w:proofErr w:type="spellStart"/>
      <w:r w:rsidRPr="00061C0D">
        <w:rPr>
          <w:rFonts w:cs="Arial"/>
          <w:szCs w:val="24"/>
        </w:rPr>
        <w:t>CoN</w:t>
      </w:r>
      <w:proofErr w:type="spellEnd"/>
      <w:r w:rsidRPr="00061C0D">
        <w:rPr>
          <w:rFonts w:cs="Arial"/>
          <w:szCs w:val="24"/>
        </w:rPr>
        <w:t>) levels.</w:t>
      </w:r>
    </w:p>
    <w:p w:rsidR="00D274F3" w:rsidRPr="00061C0D" w:rsidRDefault="00D274F3" w:rsidP="00D274F3">
      <w:pPr>
        <w:numPr>
          <w:ilvl w:val="0"/>
          <w:numId w:val="10"/>
        </w:numPr>
        <w:rPr>
          <w:rFonts w:cs="Arial"/>
          <w:szCs w:val="24"/>
        </w:rPr>
      </w:pPr>
      <w:r w:rsidRPr="00061C0D">
        <w:rPr>
          <w:rFonts w:cs="Arial"/>
          <w:szCs w:val="24"/>
        </w:rPr>
        <w:t>Level 1 Universal (thriving)</w:t>
      </w:r>
    </w:p>
    <w:p w:rsidR="00D274F3" w:rsidRPr="00061C0D" w:rsidRDefault="00D274F3" w:rsidP="00D274F3">
      <w:pPr>
        <w:numPr>
          <w:ilvl w:val="0"/>
          <w:numId w:val="10"/>
        </w:numPr>
        <w:rPr>
          <w:rFonts w:cs="Arial"/>
          <w:szCs w:val="24"/>
        </w:rPr>
      </w:pPr>
      <w:r w:rsidRPr="00061C0D">
        <w:rPr>
          <w:rFonts w:cs="Arial"/>
          <w:szCs w:val="24"/>
        </w:rPr>
        <w:t>Level 2 Additional Support Needs (just coping)</w:t>
      </w:r>
    </w:p>
    <w:p w:rsidR="00D274F3" w:rsidRPr="00061C0D" w:rsidRDefault="00D274F3" w:rsidP="00D274F3">
      <w:pPr>
        <w:numPr>
          <w:ilvl w:val="0"/>
          <w:numId w:val="10"/>
        </w:numPr>
        <w:rPr>
          <w:rFonts w:cs="Arial"/>
          <w:szCs w:val="24"/>
        </w:rPr>
      </w:pPr>
      <w:r w:rsidRPr="00061C0D">
        <w:rPr>
          <w:rFonts w:cs="Arial"/>
          <w:szCs w:val="24"/>
        </w:rPr>
        <w:t>Level 3 Complex Support Needs (struggling to cope)</w:t>
      </w:r>
    </w:p>
    <w:p w:rsidR="00D274F3" w:rsidRPr="00061C0D" w:rsidRDefault="00D274F3" w:rsidP="00D274F3">
      <w:pPr>
        <w:numPr>
          <w:ilvl w:val="0"/>
          <w:numId w:val="10"/>
        </w:numPr>
        <w:rPr>
          <w:rFonts w:cs="Arial"/>
          <w:szCs w:val="24"/>
        </w:rPr>
      </w:pPr>
      <w:r w:rsidRPr="00061C0D">
        <w:rPr>
          <w:rFonts w:cs="Arial"/>
          <w:szCs w:val="24"/>
        </w:rPr>
        <w:t>Level 4 Statutory (Not coping)</w:t>
      </w:r>
    </w:p>
    <w:p w:rsidR="00D274F3" w:rsidRPr="00061C0D" w:rsidRDefault="00D274F3" w:rsidP="00D274F3">
      <w:pPr>
        <w:rPr>
          <w:rFonts w:cs="Arial"/>
          <w:szCs w:val="24"/>
        </w:rPr>
      </w:pPr>
    </w:p>
    <w:p w:rsidR="00D274F3" w:rsidRPr="00061C0D" w:rsidRDefault="00D274F3" w:rsidP="00D274F3">
      <w:pPr>
        <w:rPr>
          <w:rFonts w:cs="Arial"/>
          <w:szCs w:val="24"/>
        </w:rPr>
      </w:pPr>
      <w:r w:rsidRPr="00061C0D">
        <w:rPr>
          <w:rFonts w:cs="Arial"/>
          <w:szCs w:val="24"/>
        </w:rPr>
        <w:t xml:space="preserve">See Appendix </w:t>
      </w:r>
      <w:r>
        <w:rPr>
          <w:rFonts w:cs="Arial"/>
          <w:szCs w:val="24"/>
        </w:rPr>
        <w:t>'</w:t>
      </w:r>
      <w:r w:rsidRPr="00061C0D">
        <w:rPr>
          <w:rFonts w:cs="Arial"/>
          <w:szCs w:val="24"/>
        </w:rPr>
        <w:t>A</w:t>
      </w:r>
      <w:r>
        <w:rPr>
          <w:rFonts w:cs="Arial"/>
          <w:szCs w:val="24"/>
        </w:rPr>
        <w:t>'</w:t>
      </w:r>
      <w:r w:rsidRPr="00061C0D">
        <w:rPr>
          <w:rFonts w:cs="Arial"/>
          <w:szCs w:val="24"/>
        </w:rPr>
        <w:t xml:space="preserve"> for more details of each level of the Continuum of Need.</w:t>
      </w:r>
    </w:p>
    <w:p w:rsidR="00D274F3" w:rsidRDefault="00D274F3" w:rsidP="00D274F3"/>
    <w:p w:rsidR="00D274F3" w:rsidRPr="00E35DFF" w:rsidRDefault="00D274F3" w:rsidP="00D274F3">
      <w:pPr>
        <w:rPr>
          <w:rFonts w:cs="Arial"/>
          <w:b/>
          <w:szCs w:val="24"/>
        </w:rPr>
      </w:pPr>
      <w:r>
        <w:rPr>
          <w:rFonts w:cs="Arial"/>
          <w:b/>
          <w:szCs w:val="24"/>
        </w:rPr>
        <w:t xml:space="preserve">5. </w:t>
      </w:r>
      <w:r w:rsidRPr="00E35DFF">
        <w:rPr>
          <w:rFonts w:cs="Arial"/>
          <w:b/>
          <w:szCs w:val="24"/>
        </w:rPr>
        <w:t>Who</w:t>
      </w:r>
      <w:r>
        <w:rPr>
          <w:rFonts w:cs="Arial"/>
          <w:b/>
          <w:szCs w:val="24"/>
        </w:rPr>
        <w:t xml:space="preserve"> will it target</w:t>
      </w:r>
      <w:r w:rsidRPr="00E35DFF">
        <w:rPr>
          <w:rFonts w:cs="Arial"/>
          <w:b/>
          <w:szCs w:val="24"/>
        </w:rPr>
        <w:t>?</w:t>
      </w:r>
    </w:p>
    <w:p w:rsidR="00D274F3" w:rsidRDefault="00D274F3" w:rsidP="00D274F3"/>
    <w:p w:rsidR="00D274F3" w:rsidRDefault="00D274F3" w:rsidP="00D274F3">
      <w:pPr>
        <w:rPr>
          <w:rFonts w:cs="Arial"/>
          <w:szCs w:val="24"/>
        </w:rPr>
      </w:pPr>
      <w:r>
        <w:rPr>
          <w:rFonts w:cs="Arial"/>
          <w:szCs w:val="24"/>
        </w:rPr>
        <w:t xml:space="preserve">The universal offer will be available to all Lancashire residents, the targeted early help offer will be delivered to those assessed as having </w:t>
      </w:r>
      <w:r w:rsidRPr="00E35DFF">
        <w:rPr>
          <w:rFonts w:cs="Arial"/>
          <w:szCs w:val="24"/>
        </w:rPr>
        <w:t xml:space="preserve">complex or intensive needs </w:t>
      </w:r>
      <w:r>
        <w:rPr>
          <w:rFonts w:cs="Arial"/>
          <w:szCs w:val="24"/>
        </w:rPr>
        <w:t>aligned to Lancashire's Continuum of Need (</w:t>
      </w:r>
      <w:proofErr w:type="spellStart"/>
      <w:r>
        <w:rPr>
          <w:rFonts w:cs="Arial"/>
          <w:szCs w:val="24"/>
        </w:rPr>
        <w:t>CoN</w:t>
      </w:r>
      <w:proofErr w:type="spellEnd"/>
      <w:r>
        <w:rPr>
          <w:rFonts w:cs="Arial"/>
          <w:szCs w:val="24"/>
        </w:rPr>
        <w:t>) at Levels 2, 3 and additional support to level 4a (</w:t>
      </w:r>
      <w:proofErr w:type="spellStart"/>
      <w:r>
        <w:rPr>
          <w:rFonts w:cs="Arial"/>
          <w:szCs w:val="24"/>
        </w:rPr>
        <w:t>CoN</w:t>
      </w:r>
      <w:proofErr w:type="spellEnd"/>
      <w:r>
        <w:rPr>
          <w:rFonts w:cs="Arial"/>
          <w:szCs w:val="24"/>
        </w:rPr>
        <w:t>)</w:t>
      </w:r>
      <w:r w:rsidRPr="00E35DFF">
        <w:rPr>
          <w:rFonts w:cs="Arial"/>
          <w:szCs w:val="24"/>
        </w:rPr>
        <w:t xml:space="preserve">.  </w:t>
      </w:r>
    </w:p>
    <w:p w:rsidR="00D274F3" w:rsidRDefault="00D274F3" w:rsidP="00D274F3">
      <w:pPr>
        <w:rPr>
          <w:rFonts w:cs="Arial"/>
          <w:szCs w:val="24"/>
        </w:rPr>
      </w:pPr>
    </w:p>
    <w:p w:rsidR="00D274F3" w:rsidRDefault="00D274F3" w:rsidP="00D274F3">
      <w:pPr>
        <w:rPr>
          <w:rFonts w:cs="Arial"/>
          <w:szCs w:val="24"/>
        </w:rPr>
      </w:pPr>
      <w:r>
        <w:rPr>
          <w:rFonts w:cs="Arial"/>
          <w:szCs w:val="24"/>
        </w:rPr>
        <w:t xml:space="preserve">WPEHS will prioritise resources towards identified key </w:t>
      </w:r>
      <w:r w:rsidRPr="00E639C0">
        <w:rPr>
          <w:rFonts w:cs="Arial"/>
          <w:szCs w:val="24"/>
        </w:rPr>
        <w:t>priority target groups</w:t>
      </w:r>
      <w:r>
        <w:rPr>
          <w:rFonts w:cs="Arial"/>
          <w:szCs w:val="24"/>
        </w:rPr>
        <w:t xml:space="preserve"> or individuals at risk</w:t>
      </w:r>
      <w:r w:rsidRPr="00E639C0">
        <w:rPr>
          <w:rFonts w:cs="Arial"/>
          <w:szCs w:val="24"/>
        </w:rPr>
        <w:t>.</w:t>
      </w:r>
      <w:r>
        <w:rPr>
          <w:rFonts w:cs="Arial"/>
          <w:szCs w:val="24"/>
        </w:rPr>
        <w:t xml:space="preserve"> </w:t>
      </w:r>
    </w:p>
    <w:p w:rsidR="00D274F3" w:rsidRDefault="00D274F3" w:rsidP="00D274F3">
      <w:pPr>
        <w:rPr>
          <w:rFonts w:cs="Arial"/>
          <w:szCs w:val="24"/>
        </w:rPr>
      </w:pPr>
    </w:p>
    <w:p w:rsidR="00D274F3" w:rsidRDefault="00D274F3" w:rsidP="00D274F3">
      <w:pPr>
        <w:rPr>
          <w:rFonts w:cs="Arial"/>
          <w:b/>
          <w:szCs w:val="24"/>
        </w:rPr>
      </w:pPr>
      <w:r>
        <w:rPr>
          <w:rFonts w:cs="Arial"/>
          <w:b/>
          <w:szCs w:val="24"/>
        </w:rPr>
        <w:t xml:space="preserve">6. </w:t>
      </w:r>
      <w:r w:rsidRPr="00843542">
        <w:rPr>
          <w:rFonts w:cs="Arial"/>
          <w:b/>
          <w:szCs w:val="24"/>
        </w:rPr>
        <w:t xml:space="preserve">Anticipated demand and </w:t>
      </w:r>
      <w:r>
        <w:rPr>
          <w:rFonts w:cs="Arial"/>
          <w:b/>
          <w:szCs w:val="24"/>
        </w:rPr>
        <w:t>r</w:t>
      </w:r>
      <w:r w:rsidRPr="00843542">
        <w:rPr>
          <w:rFonts w:cs="Arial"/>
          <w:b/>
          <w:szCs w:val="24"/>
        </w:rPr>
        <w:t>esource allocation model.</w:t>
      </w:r>
    </w:p>
    <w:p w:rsidR="00D274F3" w:rsidRPr="00843542" w:rsidRDefault="00D274F3" w:rsidP="00D274F3">
      <w:pPr>
        <w:rPr>
          <w:rFonts w:cs="Arial"/>
          <w:szCs w:val="24"/>
        </w:rPr>
      </w:pPr>
      <w:r w:rsidRPr="00843542">
        <w:rPr>
          <w:rFonts w:cs="Arial"/>
          <w:szCs w:val="24"/>
        </w:rPr>
        <w:t xml:space="preserve">Based on an assessment of current service demands, it is anticipated that WPEHS will need capacity to safely respond to </w:t>
      </w:r>
      <w:r>
        <w:rPr>
          <w:rFonts w:cs="Arial"/>
          <w:szCs w:val="24"/>
        </w:rPr>
        <w:t xml:space="preserve">approximately </w:t>
      </w:r>
      <w:r w:rsidRPr="00843542">
        <w:rPr>
          <w:rFonts w:cs="Arial"/>
          <w:szCs w:val="24"/>
        </w:rPr>
        <w:t xml:space="preserve">10,000 cases each year, comprising a mixture of children, families and young people.  This will incorporate Lancashire's response to the </w:t>
      </w:r>
      <w:r>
        <w:rPr>
          <w:rFonts w:cs="Arial"/>
          <w:szCs w:val="24"/>
        </w:rPr>
        <w:t xml:space="preserve">national </w:t>
      </w:r>
      <w:r w:rsidRPr="00843542">
        <w:rPr>
          <w:rFonts w:cs="Arial"/>
          <w:szCs w:val="24"/>
        </w:rPr>
        <w:t xml:space="preserve">Troubled Families Programme.  </w:t>
      </w:r>
    </w:p>
    <w:p w:rsidR="00D274F3" w:rsidRDefault="00D274F3" w:rsidP="00D274F3">
      <w:pPr>
        <w:rPr>
          <w:rFonts w:cs="Arial"/>
          <w:szCs w:val="24"/>
        </w:rPr>
      </w:pPr>
    </w:p>
    <w:p w:rsidR="00D274F3" w:rsidRDefault="00D274F3" w:rsidP="00D274F3">
      <w:pPr>
        <w:rPr>
          <w:rFonts w:cs="Arial"/>
          <w:szCs w:val="24"/>
        </w:rPr>
      </w:pPr>
      <w:r w:rsidRPr="00843542">
        <w:rPr>
          <w:rFonts w:cs="Arial"/>
          <w:szCs w:val="24"/>
        </w:rPr>
        <w:t xml:space="preserve">Further to this, WPEHS will allocate resources to enable centre based and outreach group activity which can cost effectively respond to defined needs and discharge an appropriate response to universal statutory responsibilities. </w:t>
      </w:r>
    </w:p>
    <w:p w:rsidR="00D274F3" w:rsidRDefault="00D274F3" w:rsidP="00D274F3">
      <w:pPr>
        <w:rPr>
          <w:rFonts w:cs="Arial"/>
          <w:szCs w:val="24"/>
        </w:rPr>
      </w:pPr>
    </w:p>
    <w:p w:rsidR="00D274F3" w:rsidRPr="00843542" w:rsidRDefault="00D274F3" w:rsidP="00D274F3">
      <w:pPr>
        <w:rPr>
          <w:rFonts w:cs="Arial"/>
          <w:szCs w:val="24"/>
        </w:rPr>
      </w:pPr>
      <w:r>
        <w:rPr>
          <w:rFonts w:cs="Arial"/>
          <w:szCs w:val="24"/>
        </w:rPr>
        <w:lastRenderedPageBreak/>
        <w:t>Resources will be deployed</w:t>
      </w:r>
      <w:r w:rsidRPr="00843542">
        <w:rPr>
          <w:rFonts w:cs="Arial"/>
          <w:szCs w:val="24"/>
        </w:rPr>
        <w:t xml:space="preserve"> using a caseload allocation model which will balance the distribution of personnel resources in order to meet demand across the 34 Service Planning Areas identified in LCC Corporate Strategy. </w:t>
      </w:r>
    </w:p>
    <w:p w:rsidR="00D274F3" w:rsidRDefault="00D274F3" w:rsidP="00D274F3">
      <w:pPr>
        <w:rPr>
          <w:rFonts w:cs="Arial"/>
          <w:szCs w:val="24"/>
        </w:rPr>
      </w:pPr>
      <w:r w:rsidRPr="00843542">
        <w:rPr>
          <w:rFonts w:cs="Arial"/>
          <w:szCs w:val="24"/>
        </w:rPr>
        <w:t xml:space="preserve">        </w:t>
      </w:r>
    </w:p>
    <w:p w:rsidR="00D274F3" w:rsidRDefault="00D274F3" w:rsidP="00D274F3">
      <w:pPr>
        <w:rPr>
          <w:rFonts w:cs="Arial"/>
          <w:b/>
          <w:szCs w:val="24"/>
        </w:rPr>
      </w:pPr>
      <w:r>
        <w:rPr>
          <w:rFonts w:cs="Arial"/>
          <w:b/>
          <w:szCs w:val="24"/>
        </w:rPr>
        <w:t xml:space="preserve">7. Financial envelope and service establishment </w:t>
      </w:r>
    </w:p>
    <w:p w:rsidR="00D274F3" w:rsidRDefault="00D274F3" w:rsidP="00D274F3">
      <w:pPr>
        <w:rPr>
          <w:rFonts w:cs="Arial"/>
          <w:b/>
          <w:szCs w:val="24"/>
        </w:rPr>
      </w:pPr>
    </w:p>
    <w:p w:rsidR="00D274F3" w:rsidRDefault="00D274F3" w:rsidP="00D274F3">
      <w:pPr>
        <w:pStyle w:val="ListParagraph"/>
        <w:spacing w:after="0" w:line="240" w:lineRule="auto"/>
        <w:ind w:left="0" w:right="-11"/>
        <w:contextualSpacing w:val="0"/>
        <w:rPr>
          <w:rFonts w:ascii="Helvetica" w:hAnsi="Helvetica"/>
          <w:sz w:val="24"/>
          <w:szCs w:val="24"/>
        </w:rPr>
      </w:pPr>
      <w:r w:rsidRPr="00B1371D">
        <w:rPr>
          <w:rFonts w:ascii="Helvetica" w:hAnsi="Helvetica"/>
          <w:sz w:val="24"/>
          <w:szCs w:val="24"/>
        </w:rPr>
        <w:t xml:space="preserve">Operating within a revised financial envelope of £17,230,000, WPEHS will work within a staffing establishment of </w:t>
      </w:r>
      <w:r w:rsidRPr="00CE374D">
        <w:rPr>
          <w:rFonts w:ascii="Helvetica" w:hAnsi="Helvetica"/>
          <w:sz w:val="24"/>
          <w:szCs w:val="24"/>
        </w:rPr>
        <w:t>5</w:t>
      </w:r>
      <w:r w:rsidRPr="007411EF">
        <w:rPr>
          <w:rFonts w:ascii="Helvetica" w:hAnsi="Helvetica"/>
          <w:sz w:val="24"/>
          <w:szCs w:val="24"/>
        </w:rPr>
        <w:t xml:space="preserve">40 </w:t>
      </w:r>
      <w:r w:rsidRPr="00B1371D">
        <w:rPr>
          <w:rFonts w:ascii="Helvetica" w:hAnsi="Helvetica"/>
          <w:sz w:val="24"/>
          <w:szCs w:val="24"/>
        </w:rPr>
        <w:t xml:space="preserve">full time equivalent staff of which </w:t>
      </w:r>
      <w:r w:rsidRPr="007411EF">
        <w:rPr>
          <w:rFonts w:ascii="Helvetica" w:hAnsi="Helvetica"/>
          <w:sz w:val="24"/>
          <w:szCs w:val="24"/>
        </w:rPr>
        <w:t>482</w:t>
      </w:r>
      <w:r w:rsidRPr="00B1371D">
        <w:rPr>
          <w:rFonts w:ascii="Helvetica" w:hAnsi="Helvetica"/>
          <w:sz w:val="24"/>
          <w:szCs w:val="24"/>
        </w:rPr>
        <w:t>fte (</w:t>
      </w:r>
      <w:r w:rsidRPr="007411EF">
        <w:rPr>
          <w:rFonts w:ascii="Helvetica" w:hAnsi="Helvetica"/>
          <w:sz w:val="24"/>
          <w:szCs w:val="24"/>
        </w:rPr>
        <w:t>89.2</w:t>
      </w:r>
      <w:r w:rsidRPr="00B1371D">
        <w:rPr>
          <w:rFonts w:ascii="Helvetica" w:hAnsi="Helvetica"/>
          <w:sz w:val="24"/>
          <w:szCs w:val="24"/>
        </w:rPr>
        <w:t xml:space="preserve">%) are frontline operational, </w:t>
      </w:r>
      <w:r w:rsidRPr="00CD631B">
        <w:rPr>
          <w:rFonts w:ascii="Helvetica" w:hAnsi="Helvetica"/>
          <w:sz w:val="24"/>
          <w:szCs w:val="24"/>
        </w:rPr>
        <w:t>2</w:t>
      </w:r>
      <w:r w:rsidRPr="007411EF">
        <w:rPr>
          <w:rFonts w:ascii="Helvetica" w:hAnsi="Helvetica"/>
          <w:sz w:val="24"/>
          <w:szCs w:val="24"/>
        </w:rPr>
        <w:t>9</w:t>
      </w:r>
      <w:r w:rsidRPr="00B1371D">
        <w:rPr>
          <w:rFonts w:ascii="Helvetica" w:hAnsi="Helvetica"/>
          <w:sz w:val="24"/>
          <w:szCs w:val="24"/>
        </w:rPr>
        <w:t xml:space="preserve">fte are </w:t>
      </w:r>
      <w:r w:rsidRPr="00CD631B">
        <w:rPr>
          <w:rFonts w:ascii="Helvetica" w:hAnsi="Helvetica"/>
          <w:sz w:val="24"/>
          <w:szCs w:val="24"/>
        </w:rPr>
        <w:t>service management</w:t>
      </w:r>
      <w:r w:rsidRPr="00CE374D">
        <w:rPr>
          <w:rFonts w:ascii="Helvetica" w:hAnsi="Helvetica"/>
          <w:sz w:val="24"/>
          <w:szCs w:val="24"/>
        </w:rPr>
        <w:t xml:space="preserve"> at Grade 9 and above (</w:t>
      </w:r>
      <w:r w:rsidRPr="007411EF">
        <w:rPr>
          <w:rFonts w:ascii="Helvetica" w:hAnsi="Helvetica"/>
          <w:sz w:val="24"/>
          <w:szCs w:val="24"/>
        </w:rPr>
        <w:t>5.4</w:t>
      </w:r>
      <w:r w:rsidRPr="00B1371D">
        <w:rPr>
          <w:rFonts w:ascii="Helvetica" w:hAnsi="Helvetica"/>
          <w:sz w:val="24"/>
          <w:szCs w:val="24"/>
        </w:rPr>
        <w:t xml:space="preserve">%) and </w:t>
      </w:r>
      <w:r w:rsidRPr="00CD631B">
        <w:rPr>
          <w:rFonts w:ascii="Helvetica" w:hAnsi="Helvetica"/>
          <w:sz w:val="24"/>
          <w:szCs w:val="24"/>
        </w:rPr>
        <w:t>2</w:t>
      </w:r>
      <w:r w:rsidRPr="007411EF">
        <w:rPr>
          <w:rFonts w:ascii="Helvetica" w:hAnsi="Helvetica"/>
          <w:sz w:val="24"/>
          <w:szCs w:val="24"/>
        </w:rPr>
        <w:t>9</w:t>
      </w:r>
      <w:r w:rsidRPr="00B1371D">
        <w:rPr>
          <w:rFonts w:ascii="Helvetica" w:hAnsi="Helvetica"/>
          <w:sz w:val="24"/>
          <w:szCs w:val="24"/>
        </w:rPr>
        <w:t xml:space="preserve">fte are </w:t>
      </w:r>
      <w:r w:rsidRPr="00CD631B">
        <w:rPr>
          <w:rFonts w:ascii="Helvetica" w:hAnsi="Helvetica"/>
          <w:sz w:val="24"/>
          <w:szCs w:val="24"/>
        </w:rPr>
        <w:t xml:space="preserve">operational delivery support </w:t>
      </w:r>
      <w:r w:rsidRPr="00CE374D">
        <w:rPr>
          <w:rFonts w:ascii="Helvetica" w:hAnsi="Helvetica"/>
          <w:sz w:val="24"/>
          <w:szCs w:val="24"/>
        </w:rPr>
        <w:t>(</w:t>
      </w:r>
      <w:r w:rsidRPr="007411EF">
        <w:rPr>
          <w:rFonts w:ascii="Helvetica" w:hAnsi="Helvetica"/>
          <w:sz w:val="24"/>
          <w:szCs w:val="24"/>
        </w:rPr>
        <w:t>5.4</w:t>
      </w:r>
      <w:r w:rsidRPr="00B1371D">
        <w:rPr>
          <w:rFonts w:ascii="Helvetica" w:hAnsi="Helvetica"/>
          <w:sz w:val="24"/>
          <w:szCs w:val="24"/>
        </w:rPr>
        <w:t>%)</w:t>
      </w:r>
    </w:p>
    <w:p w:rsidR="00D274F3" w:rsidRDefault="00D274F3" w:rsidP="00D274F3">
      <w:pPr>
        <w:pStyle w:val="ListParagraph"/>
        <w:spacing w:after="0" w:line="240" w:lineRule="auto"/>
        <w:ind w:left="0" w:right="-11"/>
        <w:contextualSpacing w:val="0"/>
        <w:rPr>
          <w:rFonts w:ascii="Helvetica" w:hAnsi="Helvetica"/>
          <w:sz w:val="24"/>
          <w:szCs w:val="24"/>
        </w:rPr>
      </w:pPr>
    </w:p>
    <w:p w:rsidR="00D274F3" w:rsidRDefault="00D274F3" w:rsidP="00D274F3">
      <w:r>
        <w:rPr>
          <w:rFonts w:ascii="Helvetica" w:hAnsi="Helvetica"/>
          <w:szCs w:val="24"/>
        </w:rPr>
        <w:t xml:space="preserve">The proposed service redesign will create and support a number of personal development opportunities for staff to train and achieve qualified social worker status.  </w:t>
      </w:r>
      <w:r>
        <w:t>This will be included in the scope of the service transformation and will include both internal personnel and those staff in externally commissioned partner organisations.</w:t>
      </w:r>
    </w:p>
    <w:p w:rsidR="00D274F3" w:rsidRDefault="00D274F3" w:rsidP="00D274F3">
      <w:pPr>
        <w:rPr>
          <w:rFonts w:cs="Arial"/>
          <w:b/>
          <w:szCs w:val="24"/>
        </w:rPr>
      </w:pPr>
    </w:p>
    <w:p w:rsidR="00D274F3" w:rsidRDefault="00D274F3" w:rsidP="00D274F3">
      <w:pPr>
        <w:rPr>
          <w:rFonts w:cs="Arial"/>
          <w:b/>
          <w:szCs w:val="24"/>
        </w:rPr>
      </w:pPr>
      <w:r>
        <w:rPr>
          <w:rFonts w:cs="Arial"/>
          <w:b/>
          <w:szCs w:val="24"/>
        </w:rPr>
        <w:t xml:space="preserve">8. </w:t>
      </w:r>
      <w:r w:rsidRPr="00843542">
        <w:rPr>
          <w:rFonts w:cs="Arial"/>
          <w:b/>
          <w:szCs w:val="24"/>
        </w:rPr>
        <w:t>The service delivery footprint.</w:t>
      </w:r>
    </w:p>
    <w:p w:rsidR="00D274F3" w:rsidRPr="00843542" w:rsidRDefault="00D274F3" w:rsidP="00D274F3">
      <w:pPr>
        <w:rPr>
          <w:rFonts w:cs="Arial"/>
          <w:b/>
          <w:szCs w:val="24"/>
        </w:rPr>
      </w:pPr>
    </w:p>
    <w:p w:rsidR="00D274F3" w:rsidRPr="00843542" w:rsidRDefault="00D274F3" w:rsidP="00D274F3">
      <w:pPr>
        <w:rPr>
          <w:rFonts w:cs="Arial"/>
          <w:szCs w:val="24"/>
        </w:rPr>
      </w:pPr>
      <w:r w:rsidRPr="00843542">
        <w:rPr>
          <w:rFonts w:cs="Arial"/>
          <w:szCs w:val="24"/>
        </w:rPr>
        <w:t xml:space="preserve">For organisation and management purposes, front facing service delivery will be structured around </w:t>
      </w:r>
      <w:r>
        <w:rPr>
          <w:rFonts w:cs="Arial"/>
          <w:szCs w:val="24"/>
        </w:rPr>
        <w:t xml:space="preserve">five </w:t>
      </w:r>
      <w:r w:rsidRPr="00843542">
        <w:rPr>
          <w:rFonts w:cs="Arial"/>
          <w:szCs w:val="24"/>
        </w:rPr>
        <w:t xml:space="preserve">areas which will form the service delivery footprints for WPEHS.  The </w:t>
      </w:r>
      <w:r>
        <w:rPr>
          <w:rFonts w:cs="Arial"/>
          <w:szCs w:val="24"/>
        </w:rPr>
        <w:t xml:space="preserve">proposed </w:t>
      </w:r>
      <w:r w:rsidRPr="00843542">
        <w:rPr>
          <w:rFonts w:cs="Arial"/>
          <w:szCs w:val="24"/>
        </w:rPr>
        <w:t>service delivery footprints are;</w:t>
      </w:r>
    </w:p>
    <w:p w:rsidR="00D274F3" w:rsidRPr="00436814" w:rsidRDefault="00D274F3" w:rsidP="00D274F3">
      <w:pPr>
        <w:numPr>
          <w:ilvl w:val="0"/>
          <w:numId w:val="6"/>
        </w:numPr>
        <w:rPr>
          <w:rFonts w:cs="Arial"/>
          <w:szCs w:val="24"/>
        </w:rPr>
      </w:pPr>
      <w:r>
        <w:rPr>
          <w:rFonts w:cs="Arial"/>
          <w:szCs w:val="24"/>
        </w:rPr>
        <w:t>Lancaster, Fylde and Wyre (covering 9</w:t>
      </w:r>
      <w:r w:rsidRPr="00436814">
        <w:rPr>
          <w:rFonts w:cs="Arial"/>
          <w:szCs w:val="24"/>
        </w:rPr>
        <w:t xml:space="preserve"> Service Planning Areas)</w:t>
      </w:r>
    </w:p>
    <w:p w:rsidR="00D274F3" w:rsidRPr="00843542" w:rsidRDefault="00D274F3" w:rsidP="00D274F3">
      <w:pPr>
        <w:numPr>
          <w:ilvl w:val="0"/>
          <w:numId w:val="6"/>
        </w:numPr>
        <w:rPr>
          <w:rFonts w:cs="Arial"/>
          <w:szCs w:val="24"/>
        </w:rPr>
      </w:pPr>
      <w:r w:rsidRPr="00843542">
        <w:rPr>
          <w:rFonts w:cs="Arial"/>
          <w:szCs w:val="24"/>
        </w:rPr>
        <w:t>Preston (covering 4 Service Planning Areas)</w:t>
      </w:r>
    </w:p>
    <w:p w:rsidR="00D274F3" w:rsidRPr="00843542" w:rsidRDefault="00D274F3" w:rsidP="00D274F3">
      <w:pPr>
        <w:numPr>
          <w:ilvl w:val="0"/>
          <w:numId w:val="6"/>
        </w:numPr>
        <w:rPr>
          <w:rFonts w:cs="Arial"/>
          <w:szCs w:val="24"/>
        </w:rPr>
      </w:pPr>
      <w:r w:rsidRPr="00843542">
        <w:rPr>
          <w:rFonts w:cs="Arial"/>
          <w:szCs w:val="24"/>
        </w:rPr>
        <w:t>Chorley, South Ribble, and West Lancashire (covering 9 Service Planning Areas)</w:t>
      </w:r>
    </w:p>
    <w:p w:rsidR="00D274F3" w:rsidRPr="00843542" w:rsidRDefault="00D274F3" w:rsidP="00D274F3">
      <w:pPr>
        <w:numPr>
          <w:ilvl w:val="0"/>
          <w:numId w:val="6"/>
        </w:numPr>
        <w:rPr>
          <w:rFonts w:cs="Arial"/>
          <w:szCs w:val="24"/>
        </w:rPr>
      </w:pPr>
      <w:r w:rsidRPr="00843542">
        <w:rPr>
          <w:rFonts w:cs="Arial"/>
          <w:szCs w:val="24"/>
        </w:rPr>
        <w:t>Hyndburn, Ribble Valley and Rossendale (covering 6 Service Planning Areas)</w:t>
      </w:r>
    </w:p>
    <w:p w:rsidR="00D274F3" w:rsidRPr="00843542" w:rsidRDefault="00D274F3" w:rsidP="00D274F3">
      <w:pPr>
        <w:numPr>
          <w:ilvl w:val="0"/>
          <w:numId w:val="6"/>
        </w:numPr>
        <w:rPr>
          <w:rFonts w:cs="Arial"/>
          <w:szCs w:val="24"/>
        </w:rPr>
      </w:pPr>
      <w:r w:rsidRPr="00843542">
        <w:rPr>
          <w:rFonts w:cs="Arial"/>
          <w:szCs w:val="24"/>
        </w:rPr>
        <w:t>Burnley and Pendle (covering 6 Service Planning Areas)</w:t>
      </w:r>
    </w:p>
    <w:p w:rsidR="00D274F3" w:rsidRPr="00843542" w:rsidRDefault="00D274F3" w:rsidP="00D274F3">
      <w:pPr>
        <w:rPr>
          <w:rFonts w:cs="Arial"/>
          <w:szCs w:val="24"/>
        </w:rPr>
      </w:pPr>
    </w:p>
    <w:p w:rsidR="00D274F3" w:rsidRDefault="00D274F3" w:rsidP="00D274F3">
      <w:pPr>
        <w:rPr>
          <w:rFonts w:cs="Arial"/>
          <w:szCs w:val="24"/>
        </w:rPr>
      </w:pPr>
      <w:r w:rsidRPr="00843542">
        <w:rPr>
          <w:rFonts w:cs="Arial"/>
          <w:szCs w:val="24"/>
        </w:rPr>
        <w:t xml:space="preserve">These service delivery footprints are configured appropriately with other key operating frameworks such as Health economies/CCGs, Travel to learn areas and arrangements around Children's Partnership/ Health and Wellbeing Boards.  This provides some level of future-proofing around planning alignment as well as operating efficiencies.  </w:t>
      </w:r>
    </w:p>
    <w:p w:rsidR="00D274F3" w:rsidRDefault="00D274F3" w:rsidP="00D274F3">
      <w:pPr>
        <w:rPr>
          <w:rFonts w:cs="Arial"/>
          <w:szCs w:val="24"/>
        </w:rPr>
      </w:pPr>
    </w:p>
    <w:p w:rsidR="00D274F3" w:rsidRDefault="00D274F3" w:rsidP="00D274F3">
      <w:pPr>
        <w:rPr>
          <w:rFonts w:cs="Arial"/>
          <w:b/>
          <w:szCs w:val="24"/>
        </w:rPr>
      </w:pPr>
      <w:r>
        <w:rPr>
          <w:rFonts w:cs="Arial"/>
          <w:b/>
          <w:szCs w:val="24"/>
        </w:rPr>
        <w:t xml:space="preserve">9. </w:t>
      </w:r>
      <w:r w:rsidRPr="00843542">
        <w:rPr>
          <w:rFonts w:cs="Arial"/>
          <w:b/>
          <w:szCs w:val="24"/>
        </w:rPr>
        <w:t xml:space="preserve">Where will services be accessible from?  </w:t>
      </w:r>
    </w:p>
    <w:p w:rsidR="00D274F3" w:rsidRDefault="00D274F3" w:rsidP="00D274F3">
      <w:pPr>
        <w:rPr>
          <w:rFonts w:cs="Arial"/>
          <w:b/>
          <w:szCs w:val="24"/>
        </w:rPr>
      </w:pPr>
    </w:p>
    <w:p w:rsidR="00D274F3" w:rsidRDefault="00D274F3" w:rsidP="00D274F3">
      <w:pPr>
        <w:rPr>
          <w:szCs w:val="24"/>
        </w:rPr>
      </w:pPr>
      <w:r w:rsidRPr="00660C79">
        <w:rPr>
          <w:szCs w:val="24"/>
        </w:rPr>
        <w:t>It is anticipated that WPEHS will operate</w:t>
      </w:r>
      <w:r>
        <w:rPr>
          <w:szCs w:val="24"/>
        </w:rPr>
        <w:t xml:space="preserve"> s</w:t>
      </w:r>
      <w:r w:rsidRPr="00843542">
        <w:rPr>
          <w:rFonts w:cs="Arial"/>
          <w:szCs w:val="24"/>
        </w:rPr>
        <w:t>ervice delivery, including universal drop-in services and groups</w:t>
      </w:r>
      <w:r w:rsidRPr="00660C79">
        <w:rPr>
          <w:szCs w:val="24"/>
        </w:rPr>
        <w:t xml:space="preserve"> in the future</w:t>
      </w:r>
      <w:r>
        <w:rPr>
          <w:szCs w:val="24"/>
        </w:rPr>
        <w:t>,</w:t>
      </w:r>
      <w:r w:rsidRPr="00660C79">
        <w:rPr>
          <w:szCs w:val="24"/>
        </w:rPr>
        <w:t xml:space="preserve"> from </w:t>
      </w:r>
      <w:r>
        <w:rPr>
          <w:szCs w:val="24"/>
        </w:rPr>
        <w:t>56</w:t>
      </w:r>
      <w:r w:rsidRPr="00660C79">
        <w:rPr>
          <w:szCs w:val="24"/>
        </w:rPr>
        <w:t xml:space="preserve"> neighbourhood centres distributed across the 34 </w:t>
      </w:r>
      <w:r>
        <w:rPr>
          <w:szCs w:val="24"/>
        </w:rPr>
        <w:t>s</w:t>
      </w:r>
      <w:r w:rsidRPr="00660C79">
        <w:rPr>
          <w:szCs w:val="24"/>
        </w:rPr>
        <w:t xml:space="preserve">ervice </w:t>
      </w:r>
      <w:r>
        <w:rPr>
          <w:szCs w:val="24"/>
        </w:rPr>
        <w:t>p</w:t>
      </w:r>
      <w:r w:rsidRPr="00660C79">
        <w:rPr>
          <w:szCs w:val="24"/>
        </w:rPr>
        <w:t xml:space="preserve">lanning </w:t>
      </w:r>
      <w:r>
        <w:rPr>
          <w:szCs w:val="24"/>
        </w:rPr>
        <w:t>a</w:t>
      </w:r>
      <w:r w:rsidRPr="00660C79">
        <w:rPr>
          <w:szCs w:val="24"/>
        </w:rPr>
        <w:t xml:space="preserve">reas in Lancashire identified within the corporate strategy.  </w:t>
      </w:r>
    </w:p>
    <w:p w:rsidR="00D274F3" w:rsidRDefault="00D274F3" w:rsidP="00D274F3">
      <w:pPr>
        <w:rPr>
          <w:szCs w:val="24"/>
        </w:rPr>
      </w:pPr>
    </w:p>
    <w:p w:rsidR="00D274F3" w:rsidRDefault="00D274F3" w:rsidP="00D274F3">
      <w:pPr>
        <w:rPr>
          <w:rFonts w:cs="Arial"/>
          <w:szCs w:val="24"/>
        </w:rPr>
      </w:pPr>
      <w:r w:rsidRPr="00660C79">
        <w:rPr>
          <w:szCs w:val="24"/>
        </w:rPr>
        <w:t xml:space="preserve">WPEHS proposal is to provide at least one point of service access within each of the 34 </w:t>
      </w:r>
      <w:r>
        <w:rPr>
          <w:szCs w:val="24"/>
        </w:rPr>
        <w:t xml:space="preserve">service planning </w:t>
      </w:r>
      <w:r w:rsidRPr="00660C79">
        <w:rPr>
          <w:szCs w:val="24"/>
        </w:rPr>
        <w:t xml:space="preserve">areas and distribute the remainder in relation to needs and deprivation with higher need areas having three or four points of access and the middle and lower need areas having two or one.  </w:t>
      </w:r>
    </w:p>
    <w:p w:rsidR="00D274F3" w:rsidRDefault="00D274F3" w:rsidP="00D274F3">
      <w:pPr>
        <w:rPr>
          <w:rFonts w:cs="Arial"/>
          <w:szCs w:val="24"/>
        </w:rPr>
      </w:pPr>
    </w:p>
    <w:p w:rsidR="00D274F3" w:rsidRPr="00843542" w:rsidRDefault="00D274F3" w:rsidP="00D274F3">
      <w:pPr>
        <w:rPr>
          <w:rFonts w:cs="Arial"/>
          <w:szCs w:val="24"/>
        </w:rPr>
      </w:pPr>
      <w:r>
        <w:rPr>
          <w:rFonts w:cs="Arial"/>
          <w:szCs w:val="24"/>
        </w:rPr>
        <w:t>Neighbourhood centres</w:t>
      </w:r>
      <w:r w:rsidRPr="00843542">
        <w:rPr>
          <w:rFonts w:cs="Arial"/>
          <w:szCs w:val="24"/>
        </w:rPr>
        <w:t xml:space="preserve"> will operate a flexible programme of delivery to meet the identified needs of children, young people and families in the local </w:t>
      </w:r>
      <w:r w:rsidRPr="00843542">
        <w:rPr>
          <w:rFonts w:cs="Arial"/>
          <w:szCs w:val="24"/>
        </w:rPr>
        <w:lastRenderedPageBreak/>
        <w:t xml:space="preserve">neighbourhood.  Each will work to a standard delivery specification where one identified </w:t>
      </w:r>
      <w:r>
        <w:rPr>
          <w:rFonts w:cs="Arial"/>
          <w:szCs w:val="24"/>
        </w:rPr>
        <w:t>neighbourhood centre</w:t>
      </w:r>
      <w:r w:rsidRPr="00843542">
        <w:rPr>
          <w:rFonts w:cs="Arial"/>
          <w:szCs w:val="24"/>
        </w:rPr>
        <w:t xml:space="preserve"> in each 'district' area will provide an enhanced level of access to services (12 delivery sessions per week) whilst the remainder will deliver 7 sessions per week.  This will enable </w:t>
      </w:r>
      <w:r>
        <w:rPr>
          <w:rFonts w:cs="Arial"/>
          <w:szCs w:val="24"/>
        </w:rPr>
        <w:t>452</w:t>
      </w:r>
      <w:r w:rsidRPr="004B7B08">
        <w:rPr>
          <w:rFonts w:cs="Arial"/>
          <w:szCs w:val="24"/>
        </w:rPr>
        <w:t xml:space="preserve"> delivery</w:t>
      </w:r>
      <w:r w:rsidRPr="00843542">
        <w:rPr>
          <w:rFonts w:cs="Arial"/>
          <w:szCs w:val="24"/>
        </w:rPr>
        <w:t xml:space="preserve"> sessions per week 'countywide', to be offered to targeted groups either through the </w:t>
      </w:r>
      <w:r>
        <w:rPr>
          <w:rFonts w:cs="Arial"/>
          <w:szCs w:val="24"/>
        </w:rPr>
        <w:t>neighbourhood</w:t>
      </w:r>
      <w:r w:rsidRPr="00843542">
        <w:rPr>
          <w:rFonts w:cs="Arial"/>
          <w:szCs w:val="24"/>
        </w:rPr>
        <w:t xml:space="preserve"> centres or through outreach and detached delivery.</w:t>
      </w:r>
    </w:p>
    <w:p w:rsidR="00D274F3" w:rsidRDefault="00D274F3" w:rsidP="00D274F3">
      <w:pPr>
        <w:rPr>
          <w:rFonts w:cs="Arial"/>
          <w:szCs w:val="24"/>
        </w:rPr>
      </w:pPr>
    </w:p>
    <w:p w:rsidR="00D274F3" w:rsidRPr="00843542" w:rsidRDefault="00D274F3" w:rsidP="00D274F3">
      <w:pPr>
        <w:rPr>
          <w:rFonts w:cs="Arial"/>
          <w:szCs w:val="24"/>
        </w:rPr>
      </w:pPr>
      <w:r w:rsidRPr="00843542">
        <w:rPr>
          <w:rFonts w:cs="Arial"/>
          <w:szCs w:val="24"/>
        </w:rPr>
        <w:t xml:space="preserve">This specification will enable the service to balance access to services across 'reach areas' in proportion to need, complemented by the use of outreach/detached and use of community assets. </w:t>
      </w:r>
    </w:p>
    <w:p w:rsidR="00D274F3" w:rsidRPr="00660C79" w:rsidRDefault="00D274F3" w:rsidP="00D274F3">
      <w:pPr>
        <w:ind w:left="-567"/>
        <w:rPr>
          <w:szCs w:val="24"/>
        </w:rPr>
      </w:pPr>
    </w:p>
    <w:p w:rsidR="00D274F3" w:rsidRPr="00660C79" w:rsidRDefault="00D274F3" w:rsidP="00D274F3">
      <w:pPr>
        <w:rPr>
          <w:szCs w:val="24"/>
        </w:rPr>
      </w:pPr>
      <w:r w:rsidRPr="00660C79">
        <w:rPr>
          <w:szCs w:val="24"/>
        </w:rPr>
        <w:t xml:space="preserve">It is anticipated that points of access </w:t>
      </w:r>
      <w:r>
        <w:rPr>
          <w:szCs w:val="24"/>
        </w:rPr>
        <w:t>will be confirmed</w:t>
      </w:r>
      <w:r w:rsidRPr="00660C79">
        <w:rPr>
          <w:szCs w:val="24"/>
        </w:rPr>
        <w:t xml:space="preserve"> following the </w:t>
      </w:r>
      <w:r>
        <w:rPr>
          <w:rFonts w:cs="Arial"/>
          <w:szCs w:val="24"/>
        </w:rPr>
        <w:t>Property</w:t>
      </w:r>
      <w:r w:rsidRPr="00660C79">
        <w:rPr>
          <w:rFonts w:cs="Arial"/>
          <w:szCs w:val="24"/>
        </w:rPr>
        <w:t xml:space="preserve"> Strategy (</w:t>
      </w:r>
      <w:r>
        <w:rPr>
          <w:rFonts w:cs="Arial"/>
          <w:szCs w:val="24"/>
        </w:rPr>
        <w:t>N</w:t>
      </w:r>
      <w:r w:rsidRPr="00660C79">
        <w:rPr>
          <w:rFonts w:cs="Arial"/>
          <w:szCs w:val="24"/>
        </w:rPr>
        <w:t xml:space="preserve">eighbourhood </w:t>
      </w:r>
      <w:r>
        <w:rPr>
          <w:rFonts w:cs="Arial"/>
          <w:szCs w:val="24"/>
        </w:rPr>
        <w:t>C</w:t>
      </w:r>
      <w:r w:rsidRPr="00660C79">
        <w:rPr>
          <w:rFonts w:cs="Arial"/>
          <w:szCs w:val="24"/>
        </w:rPr>
        <w:t>entres) review</w:t>
      </w:r>
      <w:r w:rsidRPr="00660C79">
        <w:rPr>
          <w:szCs w:val="24"/>
        </w:rPr>
        <w:t>, though it should be noted that some frontline delivery may operate on an outreach basis from within partner/provider properties within communities, including schools.</w:t>
      </w:r>
    </w:p>
    <w:p w:rsidR="00D274F3" w:rsidRDefault="00D274F3" w:rsidP="00D274F3">
      <w:pPr>
        <w:rPr>
          <w:szCs w:val="24"/>
        </w:rPr>
      </w:pPr>
    </w:p>
    <w:p w:rsidR="00D274F3" w:rsidRPr="00660C79" w:rsidRDefault="00D274F3" w:rsidP="00D274F3">
      <w:pPr>
        <w:rPr>
          <w:szCs w:val="24"/>
        </w:rPr>
      </w:pPr>
      <w:r w:rsidRPr="00660C79">
        <w:rPr>
          <w:szCs w:val="24"/>
        </w:rPr>
        <w:t xml:space="preserve">As the </w:t>
      </w:r>
      <w:r>
        <w:rPr>
          <w:rFonts w:cs="Arial"/>
          <w:szCs w:val="24"/>
        </w:rPr>
        <w:t>Property</w:t>
      </w:r>
      <w:r w:rsidRPr="00660C79">
        <w:rPr>
          <w:rFonts w:cs="Arial"/>
          <w:szCs w:val="24"/>
        </w:rPr>
        <w:t xml:space="preserve"> Strategy (</w:t>
      </w:r>
      <w:r>
        <w:rPr>
          <w:rFonts w:cs="Arial"/>
          <w:szCs w:val="24"/>
        </w:rPr>
        <w:t>N</w:t>
      </w:r>
      <w:r w:rsidRPr="00660C79">
        <w:rPr>
          <w:rFonts w:cs="Arial"/>
          <w:szCs w:val="24"/>
        </w:rPr>
        <w:t xml:space="preserve">eighbourhood </w:t>
      </w:r>
      <w:r>
        <w:rPr>
          <w:rFonts w:cs="Arial"/>
          <w:szCs w:val="24"/>
        </w:rPr>
        <w:t>C</w:t>
      </w:r>
      <w:r w:rsidRPr="00660C79">
        <w:rPr>
          <w:rFonts w:cs="Arial"/>
          <w:szCs w:val="24"/>
        </w:rPr>
        <w:t xml:space="preserve">entres) </w:t>
      </w:r>
      <w:r>
        <w:rPr>
          <w:szCs w:val="24"/>
        </w:rPr>
        <w:t xml:space="preserve">has </w:t>
      </w:r>
      <w:r w:rsidRPr="00660C79">
        <w:rPr>
          <w:szCs w:val="24"/>
        </w:rPr>
        <w:t xml:space="preserve">not yet </w:t>
      </w:r>
      <w:r>
        <w:rPr>
          <w:szCs w:val="24"/>
        </w:rPr>
        <w:t>been approved</w:t>
      </w:r>
      <w:r w:rsidRPr="00660C79">
        <w:rPr>
          <w:szCs w:val="24"/>
        </w:rPr>
        <w:t xml:space="preserve">, WPEHS is not able to specify and define at this stage from which properties it will operate service delivery in the future.  Any working proposals indicated will be subject to consultation and will be aligned with the outcomes of the </w:t>
      </w:r>
      <w:r>
        <w:rPr>
          <w:szCs w:val="24"/>
        </w:rPr>
        <w:t xml:space="preserve">strategy and consequent </w:t>
      </w:r>
      <w:r w:rsidRPr="00660C79">
        <w:rPr>
          <w:szCs w:val="24"/>
        </w:rPr>
        <w:t>review, once known.  It should be noted however that in some circumstances;</w:t>
      </w:r>
    </w:p>
    <w:p w:rsidR="00D274F3" w:rsidRPr="00660C79" w:rsidRDefault="00D274F3" w:rsidP="00D274F3">
      <w:pPr>
        <w:numPr>
          <w:ilvl w:val="0"/>
          <w:numId w:val="9"/>
        </w:numPr>
        <w:ind w:left="567" w:hanging="425"/>
        <w:rPr>
          <w:szCs w:val="24"/>
        </w:rPr>
      </w:pPr>
      <w:r w:rsidRPr="00660C79">
        <w:rPr>
          <w:szCs w:val="24"/>
        </w:rPr>
        <w:t>The property of another provider (e.g. externally commissioned children centre) may be more preferable to existing council estate in a given neighbourhood.</w:t>
      </w:r>
    </w:p>
    <w:p w:rsidR="00D274F3" w:rsidRPr="00660C79" w:rsidRDefault="00D274F3" w:rsidP="00D274F3">
      <w:pPr>
        <w:numPr>
          <w:ilvl w:val="0"/>
          <w:numId w:val="9"/>
        </w:numPr>
        <w:ind w:left="567" w:hanging="425"/>
        <w:rPr>
          <w:szCs w:val="24"/>
        </w:rPr>
      </w:pPr>
      <w:r w:rsidRPr="00660C79">
        <w:rPr>
          <w:szCs w:val="24"/>
        </w:rPr>
        <w:t>A property within the wider council estate may be more preferable to an existing WPEHS estate e.g. local library.</w:t>
      </w:r>
    </w:p>
    <w:p w:rsidR="00D274F3" w:rsidRPr="00660C79" w:rsidRDefault="00D274F3" w:rsidP="00D274F3">
      <w:pPr>
        <w:rPr>
          <w:szCs w:val="24"/>
        </w:rPr>
      </w:pPr>
    </w:p>
    <w:p w:rsidR="00D274F3" w:rsidRPr="00660C79" w:rsidRDefault="00D274F3" w:rsidP="00D274F3">
      <w:pPr>
        <w:rPr>
          <w:szCs w:val="24"/>
        </w:rPr>
      </w:pPr>
      <w:r w:rsidRPr="00660C79">
        <w:rPr>
          <w:szCs w:val="24"/>
        </w:rPr>
        <w:t>The following factors, amongst others, will need to be part of any assessment in determining which combination of '</w:t>
      </w:r>
      <w:r>
        <w:rPr>
          <w:szCs w:val="24"/>
        </w:rPr>
        <w:t>N</w:t>
      </w:r>
      <w:r w:rsidRPr="00660C79">
        <w:rPr>
          <w:szCs w:val="24"/>
        </w:rPr>
        <w:t xml:space="preserve">eighbourhood </w:t>
      </w:r>
      <w:r>
        <w:rPr>
          <w:szCs w:val="24"/>
        </w:rPr>
        <w:t>C</w:t>
      </w:r>
      <w:r w:rsidRPr="00660C79">
        <w:rPr>
          <w:szCs w:val="24"/>
        </w:rPr>
        <w:t>entres' are most suited to ensuring sufficiency of both 'access' and 'reach' within the future delivery model for WPEHS;</w:t>
      </w:r>
    </w:p>
    <w:p w:rsidR="00D274F3" w:rsidRPr="00660C79" w:rsidRDefault="00D274F3" w:rsidP="00D274F3">
      <w:pPr>
        <w:numPr>
          <w:ilvl w:val="0"/>
          <w:numId w:val="8"/>
        </w:numPr>
        <w:ind w:left="567" w:hanging="425"/>
        <w:rPr>
          <w:szCs w:val="24"/>
        </w:rPr>
      </w:pPr>
      <w:r w:rsidRPr="00660C79">
        <w:rPr>
          <w:szCs w:val="24"/>
        </w:rPr>
        <w:t xml:space="preserve">Points of access within principle communities with good access and sufficient neutrality to ensure different communities will use the facilities. </w:t>
      </w:r>
    </w:p>
    <w:p w:rsidR="00D274F3" w:rsidRPr="00660C79" w:rsidRDefault="00D274F3" w:rsidP="00D274F3">
      <w:pPr>
        <w:numPr>
          <w:ilvl w:val="0"/>
          <w:numId w:val="8"/>
        </w:numPr>
        <w:ind w:left="567" w:hanging="425"/>
        <w:rPr>
          <w:szCs w:val="24"/>
        </w:rPr>
      </w:pPr>
      <w:r w:rsidRPr="00660C79">
        <w:rPr>
          <w:szCs w:val="24"/>
        </w:rPr>
        <w:t>Spread of access points which ensure the ability to establish links to centres within defined reach areas (</w:t>
      </w:r>
      <w:proofErr w:type="spellStart"/>
      <w:r w:rsidRPr="00660C79">
        <w:rPr>
          <w:szCs w:val="24"/>
        </w:rPr>
        <w:t>DfE</w:t>
      </w:r>
      <w:proofErr w:type="spellEnd"/>
      <w:r w:rsidRPr="00660C79">
        <w:rPr>
          <w:szCs w:val="24"/>
        </w:rPr>
        <w:t xml:space="preserve"> defined/children centres)</w:t>
      </w:r>
    </w:p>
    <w:p w:rsidR="00D274F3" w:rsidRPr="00660C79" w:rsidRDefault="00D274F3" w:rsidP="00D274F3">
      <w:pPr>
        <w:numPr>
          <w:ilvl w:val="0"/>
          <w:numId w:val="8"/>
        </w:numPr>
        <w:ind w:left="567" w:hanging="425"/>
        <w:rPr>
          <w:szCs w:val="24"/>
        </w:rPr>
      </w:pPr>
      <w:r w:rsidRPr="00660C79">
        <w:rPr>
          <w:szCs w:val="24"/>
        </w:rPr>
        <w:t>Gaps between provision – good practice for access within 30 minutes reasonable travel distance (walking)</w:t>
      </w:r>
    </w:p>
    <w:p w:rsidR="00D274F3" w:rsidRPr="005D1D50" w:rsidRDefault="00D274F3" w:rsidP="00D274F3">
      <w:pPr>
        <w:numPr>
          <w:ilvl w:val="0"/>
          <w:numId w:val="8"/>
        </w:numPr>
        <w:ind w:left="567" w:hanging="425"/>
        <w:rPr>
          <w:rFonts w:cs="Arial"/>
          <w:szCs w:val="24"/>
        </w:rPr>
      </w:pPr>
      <w:r w:rsidRPr="00660C79">
        <w:rPr>
          <w:szCs w:val="24"/>
        </w:rPr>
        <w:t>Buildings sufficiently flexible to respond to the diverse needs of 0-19+ and families, including discrete one to one spaces, flexible group spaces, adequate storage and access facilities etc.</w:t>
      </w:r>
    </w:p>
    <w:p w:rsidR="00D274F3" w:rsidRPr="00843542" w:rsidRDefault="00D274F3" w:rsidP="00D274F3">
      <w:pPr>
        <w:rPr>
          <w:rFonts w:cs="Arial"/>
          <w:b/>
          <w:szCs w:val="24"/>
        </w:rPr>
      </w:pPr>
    </w:p>
    <w:p w:rsidR="00D274F3" w:rsidRPr="00843542" w:rsidRDefault="00D274F3" w:rsidP="00D274F3">
      <w:pPr>
        <w:rPr>
          <w:rFonts w:cs="Arial"/>
          <w:b/>
          <w:szCs w:val="24"/>
        </w:rPr>
      </w:pPr>
      <w:r>
        <w:rPr>
          <w:rFonts w:cs="Arial"/>
          <w:b/>
          <w:szCs w:val="24"/>
        </w:rPr>
        <w:t xml:space="preserve">10. </w:t>
      </w:r>
      <w:r w:rsidRPr="00843542">
        <w:rPr>
          <w:rFonts w:cs="Arial"/>
          <w:b/>
          <w:szCs w:val="24"/>
        </w:rPr>
        <w:t>Governance</w:t>
      </w:r>
    </w:p>
    <w:p w:rsidR="00D274F3" w:rsidRDefault="00D274F3" w:rsidP="00D274F3">
      <w:pPr>
        <w:rPr>
          <w:rFonts w:cs="Arial"/>
          <w:szCs w:val="24"/>
        </w:rPr>
      </w:pPr>
    </w:p>
    <w:p w:rsidR="00D274F3" w:rsidRDefault="00D274F3" w:rsidP="00D274F3">
      <w:pPr>
        <w:rPr>
          <w:rFonts w:cs="Arial"/>
          <w:szCs w:val="24"/>
        </w:rPr>
      </w:pPr>
      <w:r>
        <w:rPr>
          <w:rFonts w:cs="Arial"/>
          <w:szCs w:val="24"/>
        </w:rPr>
        <w:t xml:space="preserve">WPEHS will </w:t>
      </w:r>
      <w:r w:rsidRPr="00843542">
        <w:rPr>
          <w:rFonts w:cs="Arial"/>
          <w:szCs w:val="24"/>
        </w:rPr>
        <w:t>report on</w:t>
      </w:r>
      <w:r>
        <w:rPr>
          <w:rFonts w:cs="Arial"/>
          <w:szCs w:val="24"/>
        </w:rPr>
        <w:t xml:space="preserve"> its outcomes and performance through a multi-agency governance structure (Children's Partnership Board and where appropriate the Health and Wellbeing Board), aligned with service delivery footprints </w:t>
      </w:r>
      <w:r w:rsidRPr="00843542">
        <w:rPr>
          <w:rFonts w:cs="Arial"/>
          <w:szCs w:val="24"/>
        </w:rPr>
        <w:t>(</w:t>
      </w:r>
      <w:r>
        <w:rPr>
          <w:rFonts w:cs="Arial"/>
          <w:szCs w:val="24"/>
        </w:rPr>
        <w:t>County and local level</w:t>
      </w:r>
      <w:r w:rsidRPr="00843542">
        <w:rPr>
          <w:rFonts w:cs="Arial"/>
          <w:szCs w:val="24"/>
        </w:rPr>
        <w:t>)</w:t>
      </w:r>
      <w:r>
        <w:rPr>
          <w:rFonts w:cs="Arial"/>
          <w:szCs w:val="24"/>
        </w:rPr>
        <w:t xml:space="preserve">.  </w:t>
      </w:r>
    </w:p>
    <w:p w:rsidR="00D274F3" w:rsidRDefault="00D274F3" w:rsidP="00D274F3">
      <w:pPr>
        <w:rPr>
          <w:rFonts w:cs="Arial"/>
          <w:szCs w:val="24"/>
        </w:rPr>
      </w:pPr>
    </w:p>
    <w:p w:rsidR="00D274F3" w:rsidRDefault="00D274F3" w:rsidP="00D274F3">
      <w:pPr>
        <w:rPr>
          <w:rFonts w:cs="Arial"/>
          <w:szCs w:val="24"/>
        </w:rPr>
      </w:pPr>
      <w:r>
        <w:rPr>
          <w:rFonts w:cs="Arial"/>
          <w:szCs w:val="24"/>
        </w:rPr>
        <w:lastRenderedPageBreak/>
        <w:t xml:space="preserve">The governance role will respond to both </w:t>
      </w:r>
      <w:r w:rsidRPr="00843542">
        <w:rPr>
          <w:rFonts w:cs="Arial"/>
          <w:szCs w:val="24"/>
        </w:rPr>
        <w:t>the national Troubled Families Unit programme in Lancashire</w:t>
      </w:r>
      <w:r>
        <w:rPr>
          <w:rFonts w:cs="Arial"/>
          <w:szCs w:val="24"/>
        </w:rPr>
        <w:t xml:space="preserve"> and the 'advisory board' function </w:t>
      </w:r>
      <w:r w:rsidRPr="00843542">
        <w:rPr>
          <w:rFonts w:cs="Arial"/>
          <w:szCs w:val="24"/>
        </w:rPr>
        <w:t xml:space="preserve">for </w:t>
      </w:r>
      <w:r>
        <w:rPr>
          <w:rFonts w:cs="Arial"/>
          <w:szCs w:val="24"/>
        </w:rPr>
        <w:t>local 'Children Centre delivery', i</w:t>
      </w:r>
      <w:r w:rsidRPr="00843542">
        <w:rPr>
          <w:rFonts w:cs="Arial"/>
          <w:szCs w:val="24"/>
        </w:rPr>
        <w:t>n line with statutory expectations</w:t>
      </w:r>
      <w:r>
        <w:rPr>
          <w:rFonts w:cs="Arial"/>
          <w:szCs w:val="24"/>
        </w:rPr>
        <w:t>, and aligned with appropriate clustering arrangements.  This</w:t>
      </w:r>
      <w:r w:rsidRPr="00843542">
        <w:rPr>
          <w:rFonts w:cs="Arial"/>
          <w:szCs w:val="24"/>
        </w:rPr>
        <w:t xml:space="preserve"> will meet the requirements of the revised statutory Ofsted Inspection framework (for 2016/17 academic year).  </w:t>
      </w:r>
    </w:p>
    <w:p w:rsidR="00D274F3" w:rsidRDefault="00D274F3" w:rsidP="00D274F3">
      <w:pPr>
        <w:rPr>
          <w:rFonts w:cs="Arial"/>
          <w:szCs w:val="24"/>
        </w:rPr>
      </w:pPr>
    </w:p>
    <w:p w:rsidR="00D274F3" w:rsidRDefault="00D274F3" w:rsidP="00D274F3">
      <w:pPr>
        <w:rPr>
          <w:rFonts w:cs="Arial"/>
          <w:szCs w:val="24"/>
        </w:rPr>
      </w:pPr>
      <w:r w:rsidRPr="00843542">
        <w:rPr>
          <w:rFonts w:cs="Arial"/>
          <w:szCs w:val="24"/>
        </w:rPr>
        <w:t xml:space="preserve">The </w:t>
      </w:r>
      <w:r>
        <w:rPr>
          <w:rFonts w:cs="Arial"/>
          <w:szCs w:val="24"/>
        </w:rPr>
        <w:t>governance structure</w:t>
      </w:r>
      <w:r w:rsidRPr="00843542">
        <w:rPr>
          <w:rFonts w:cs="Arial"/>
          <w:szCs w:val="24"/>
        </w:rPr>
        <w:t xml:space="preserve"> will work to defined terms of reference and core suggested membership which will outline their role as providing 'challenge/scrutiny and support' to locally delivered WPEHS.  They will not manage delivery of services nor any associated budgetary resources.</w:t>
      </w:r>
    </w:p>
    <w:p w:rsidR="00D274F3" w:rsidRPr="00843542" w:rsidRDefault="00D274F3" w:rsidP="00D274F3">
      <w:pPr>
        <w:rPr>
          <w:rFonts w:cs="Arial"/>
          <w:szCs w:val="24"/>
        </w:rPr>
      </w:pPr>
    </w:p>
    <w:p w:rsidR="00D274F3" w:rsidRDefault="00D274F3" w:rsidP="00D274F3">
      <w:pPr>
        <w:rPr>
          <w:rFonts w:cs="Arial"/>
          <w:b/>
          <w:szCs w:val="24"/>
        </w:rPr>
      </w:pPr>
      <w:r>
        <w:rPr>
          <w:rFonts w:cs="Arial"/>
          <w:b/>
          <w:szCs w:val="24"/>
        </w:rPr>
        <w:t xml:space="preserve">11. </w:t>
      </w:r>
      <w:r w:rsidRPr="00843542">
        <w:rPr>
          <w:rFonts w:cs="Arial"/>
          <w:b/>
          <w:szCs w:val="24"/>
        </w:rPr>
        <w:t>Focus on Outcomes</w:t>
      </w:r>
    </w:p>
    <w:p w:rsidR="00D274F3" w:rsidRDefault="00D274F3" w:rsidP="00D274F3">
      <w:pPr>
        <w:rPr>
          <w:rFonts w:cs="Arial"/>
          <w:b/>
          <w:szCs w:val="24"/>
        </w:rPr>
      </w:pPr>
    </w:p>
    <w:p w:rsidR="00D274F3" w:rsidRDefault="00D274F3" w:rsidP="00D274F3">
      <w:pPr>
        <w:rPr>
          <w:rFonts w:cs="Arial"/>
          <w:szCs w:val="24"/>
        </w:rPr>
      </w:pPr>
      <w:r w:rsidRPr="00843542">
        <w:rPr>
          <w:rFonts w:cs="Arial"/>
          <w:szCs w:val="24"/>
        </w:rPr>
        <w:t xml:space="preserve">WPEHS will continue to report on key performance targets and indicators to the Dept. for Education, Dept. for Health, and the National Troubled Families Unit.  WPEHS will be an outcomes focussed service focussed on securing five principal objectives;    </w:t>
      </w:r>
    </w:p>
    <w:p w:rsidR="00D274F3" w:rsidRPr="00843542" w:rsidRDefault="00D274F3" w:rsidP="00D274F3">
      <w:pPr>
        <w:rPr>
          <w:rFonts w:cs="Arial"/>
          <w:szCs w:val="24"/>
        </w:rPr>
      </w:pPr>
    </w:p>
    <w:p w:rsidR="00D274F3" w:rsidRPr="00843542" w:rsidRDefault="00D274F3" w:rsidP="00D274F3">
      <w:pPr>
        <w:numPr>
          <w:ilvl w:val="0"/>
          <w:numId w:val="7"/>
        </w:numPr>
        <w:rPr>
          <w:rFonts w:cs="Arial"/>
          <w:szCs w:val="24"/>
        </w:rPr>
      </w:pPr>
      <w:r w:rsidRPr="00843542">
        <w:rPr>
          <w:rFonts w:cs="Arial"/>
          <w:szCs w:val="24"/>
        </w:rPr>
        <w:t>Children and young people are safe and protected from harm</w:t>
      </w:r>
    </w:p>
    <w:p w:rsidR="00D274F3" w:rsidRPr="00843542" w:rsidRDefault="00D274F3" w:rsidP="00D274F3">
      <w:pPr>
        <w:numPr>
          <w:ilvl w:val="0"/>
          <w:numId w:val="7"/>
        </w:numPr>
        <w:rPr>
          <w:rFonts w:cs="Arial"/>
          <w:szCs w:val="24"/>
        </w:rPr>
      </w:pPr>
      <w:r w:rsidRPr="00843542">
        <w:rPr>
          <w:rFonts w:cs="Arial"/>
          <w:szCs w:val="24"/>
        </w:rPr>
        <w:t>Children, young people and their families are resilient, aspirational and have the knowledge, capability and capacity to deal with wider factors which affect their health and wellbeing, life chances and economic wellbeing</w:t>
      </w:r>
    </w:p>
    <w:p w:rsidR="00D274F3" w:rsidRPr="00843542" w:rsidRDefault="00D274F3" w:rsidP="00D274F3">
      <w:pPr>
        <w:numPr>
          <w:ilvl w:val="0"/>
          <w:numId w:val="7"/>
        </w:numPr>
        <w:rPr>
          <w:rFonts w:cs="Arial"/>
          <w:szCs w:val="24"/>
        </w:rPr>
      </w:pPr>
      <w:r w:rsidRPr="00843542">
        <w:rPr>
          <w:rFonts w:cs="Arial"/>
          <w:szCs w:val="24"/>
        </w:rPr>
        <w:t>Children, young people and families are helped to live healthy lifestyles, engage in positive social activities and make healthy choices</w:t>
      </w:r>
    </w:p>
    <w:p w:rsidR="00D274F3" w:rsidRPr="00843542" w:rsidRDefault="00D274F3" w:rsidP="00D274F3">
      <w:pPr>
        <w:numPr>
          <w:ilvl w:val="0"/>
          <w:numId w:val="7"/>
        </w:numPr>
        <w:rPr>
          <w:rFonts w:cs="Arial"/>
          <w:szCs w:val="24"/>
        </w:rPr>
      </w:pPr>
      <w:r w:rsidRPr="00843542">
        <w:rPr>
          <w:rFonts w:cs="Arial"/>
          <w:szCs w:val="24"/>
        </w:rPr>
        <w:t>Children, young people and families health is protected from major incidents and other threats, whilst reducing health inequalities</w:t>
      </w:r>
    </w:p>
    <w:p w:rsidR="00D274F3" w:rsidRPr="00843542" w:rsidRDefault="00D274F3" w:rsidP="00D274F3">
      <w:pPr>
        <w:numPr>
          <w:ilvl w:val="0"/>
          <w:numId w:val="7"/>
        </w:numPr>
        <w:rPr>
          <w:rFonts w:cs="Arial"/>
          <w:szCs w:val="24"/>
        </w:rPr>
      </w:pPr>
      <w:r w:rsidRPr="00843542">
        <w:rPr>
          <w:rFonts w:cs="Arial"/>
          <w:szCs w:val="24"/>
        </w:rPr>
        <w:t>By targeting those in more disadvantaged communities, the number of children, young people and families living with preventable ill health and dying prematurely is reduced</w:t>
      </w:r>
    </w:p>
    <w:p w:rsidR="00D274F3" w:rsidRDefault="00D274F3" w:rsidP="00D274F3"/>
    <w:p w:rsidR="00D274F3" w:rsidRPr="00583DDE" w:rsidRDefault="00D274F3" w:rsidP="00D274F3">
      <w:pPr>
        <w:keepNext/>
        <w:spacing w:before="240" w:after="60"/>
        <w:outlineLvl w:val="0"/>
        <w:rPr>
          <w:rFonts w:cs="Arial"/>
          <w:b/>
          <w:bCs/>
          <w:kern w:val="32"/>
          <w:szCs w:val="24"/>
        </w:rPr>
      </w:pPr>
      <w:r w:rsidRPr="00583DDE">
        <w:rPr>
          <w:rFonts w:cs="Arial"/>
          <w:b/>
          <w:bCs/>
          <w:kern w:val="32"/>
          <w:szCs w:val="24"/>
        </w:rPr>
        <w:t>12. Consultations</w:t>
      </w:r>
    </w:p>
    <w:p w:rsidR="00D274F3" w:rsidRPr="00583DDE" w:rsidRDefault="00D274F3" w:rsidP="00D274F3">
      <w:pPr>
        <w:autoSpaceDE w:val="0"/>
        <w:autoSpaceDN w:val="0"/>
        <w:adjustRightInd w:val="0"/>
        <w:ind w:right="56"/>
        <w:rPr>
          <w:rFonts w:cs="Arial"/>
          <w:szCs w:val="24"/>
        </w:rPr>
      </w:pPr>
      <w:r w:rsidRPr="00583DDE">
        <w:rPr>
          <w:rFonts w:cs="Arial"/>
          <w:szCs w:val="24"/>
        </w:rPr>
        <w:t>Appropriate consultation on the proposed model will ensure that our children, young people, families, carers and local communities have an active influence over the future shape of service delivery, and that these are taken in equal account alongside the views of key delivery partners. This will include the required statutory consultation processes which may need to be undertaken in respect of any such impact on designated Children Centres.  Key stakeholders include;</w:t>
      </w:r>
    </w:p>
    <w:p w:rsidR="00D274F3" w:rsidRPr="00583DDE" w:rsidRDefault="00D274F3" w:rsidP="00D274F3">
      <w:pPr>
        <w:autoSpaceDE w:val="0"/>
        <w:autoSpaceDN w:val="0"/>
        <w:adjustRightInd w:val="0"/>
        <w:ind w:right="-896"/>
        <w:rPr>
          <w:rFonts w:cs="Arial"/>
          <w:sz w:val="8"/>
          <w:szCs w:val="8"/>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760"/>
        <w:gridCol w:w="2248"/>
        <w:gridCol w:w="1946"/>
      </w:tblGrid>
      <w:tr w:rsidR="00D274F3" w:rsidRPr="00583DDE" w:rsidTr="007B44D0">
        <w:tc>
          <w:tcPr>
            <w:tcW w:w="1072" w:type="pct"/>
            <w:shd w:val="clear" w:color="auto" w:fill="D9D9D9"/>
          </w:tcPr>
          <w:p w:rsidR="00D274F3" w:rsidRPr="00583DDE" w:rsidRDefault="00D274F3" w:rsidP="007B44D0">
            <w:pPr>
              <w:autoSpaceDE w:val="0"/>
              <w:autoSpaceDN w:val="0"/>
              <w:adjustRightInd w:val="0"/>
              <w:ind w:right="-896"/>
              <w:rPr>
                <w:rFonts w:cs="Arial"/>
                <w:szCs w:val="24"/>
              </w:rPr>
            </w:pPr>
            <w:r w:rsidRPr="00583DDE">
              <w:rPr>
                <w:rFonts w:cs="Arial"/>
                <w:szCs w:val="24"/>
              </w:rPr>
              <w:t>Internal</w:t>
            </w:r>
          </w:p>
        </w:tc>
        <w:tc>
          <w:tcPr>
            <w:tcW w:w="1486" w:type="pct"/>
            <w:shd w:val="clear" w:color="auto" w:fill="D9D9D9"/>
          </w:tcPr>
          <w:p w:rsidR="00D274F3" w:rsidRPr="00583DDE" w:rsidRDefault="00D274F3" w:rsidP="007B44D0">
            <w:pPr>
              <w:autoSpaceDE w:val="0"/>
              <w:autoSpaceDN w:val="0"/>
              <w:adjustRightInd w:val="0"/>
              <w:ind w:right="-896"/>
              <w:rPr>
                <w:rFonts w:cs="Arial"/>
                <w:szCs w:val="24"/>
              </w:rPr>
            </w:pPr>
            <w:r w:rsidRPr="00583DDE">
              <w:rPr>
                <w:rFonts w:cs="Arial"/>
                <w:szCs w:val="24"/>
              </w:rPr>
              <w:t>External</w:t>
            </w:r>
          </w:p>
        </w:tc>
        <w:tc>
          <w:tcPr>
            <w:tcW w:w="1307" w:type="pct"/>
            <w:shd w:val="clear" w:color="auto" w:fill="D9D9D9"/>
          </w:tcPr>
          <w:p w:rsidR="00D274F3" w:rsidRPr="00583DDE" w:rsidRDefault="00D274F3" w:rsidP="007B44D0">
            <w:pPr>
              <w:autoSpaceDE w:val="0"/>
              <w:autoSpaceDN w:val="0"/>
              <w:adjustRightInd w:val="0"/>
              <w:ind w:right="-896"/>
              <w:rPr>
                <w:rFonts w:cs="Arial"/>
                <w:szCs w:val="24"/>
              </w:rPr>
            </w:pPr>
            <w:r w:rsidRPr="00583DDE">
              <w:rPr>
                <w:rFonts w:cs="Arial"/>
                <w:szCs w:val="24"/>
              </w:rPr>
              <w:t>Public</w:t>
            </w:r>
          </w:p>
        </w:tc>
        <w:tc>
          <w:tcPr>
            <w:tcW w:w="1135" w:type="pct"/>
            <w:shd w:val="clear" w:color="auto" w:fill="D9D9D9"/>
          </w:tcPr>
          <w:p w:rsidR="00D274F3" w:rsidRPr="00583DDE" w:rsidRDefault="00D274F3" w:rsidP="007B44D0">
            <w:pPr>
              <w:autoSpaceDE w:val="0"/>
              <w:autoSpaceDN w:val="0"/>
              <w:adjustRightInd w:val="0"/>
              <w:ind w:right="-896"/>
              <w:rPr>
                <w:rFonts w:cs="Arial"/>
                <w:szCs w:val="24"/>
              </w:rPr>
            </w:pPr>
            <w:r w:rsidRPr="00583DDE">
              <w:rPr>
                <w:rFonts w:cs="Arial"/>
                <w:szCs w:val="24"/>
              </w:rPr>
              <w:t>Statutory</w:t>
            </w:r>
          </w:p>
        </w:tc>
      </w:tr>
      <w:tr w:rsidR="00D274F3" w:rsidRPr="00583DDE" w:rsidTr="007B44D0">
        <w:tc>
          <w:tcPr>
            <w:tcW w:w="1072" w:type="pct"/>
            <w:shd w:val="clear" w:color="auto" w:fill="auto"/>
          </w:tcPr>
          <w:p w:rsidR="00D274F3" w:rsidRPr="00583DDE" w:rsidRDefault="00D274F3" w:rsidP="007B44D0">
            <w:pPr>
              <w:numPr>
                <w:ilvl w:val="0"/>
                <w:numId w:val="12"/>
              </w:numPr>
              <w:autoSpaceDE w:val="0"/>
              <w:autoSpaceDN w:val="0"/>
              <w:adjustRightInd w:val="0"/>
              <w:ind w:left="176" w:right="-896" w:hanging="176"/>
              <w:rPr>
                <w:rFonts w:cs="Arial"/>
                <w:sz w:val="22"/>
                <w:szCs w:val="22"/>
              </w:rPr>
            </w:pPr>
            <w:r w:rsidRPr="00583DDE">
              <w:rPr>
                <w:rFonts w:cs="Arial"/>
                <w:sz w:val="22"/>
                <w:szCs w:val="22"/>
              </w:rPr>
              <w:t>Staff</w:t>
            </w:r>
          </w:p>
          <w:p w:rsidR="00D274F3" w:rsidRPr="00583DDE" w:rsidRDefault="00D274F3" w:rsidP="007B44D0">
            <w:pPr>
              <w:numPr>
                <w:ilvl w:val="0"/>
                <w:numId w:val="12"/>
              </w:numPr>
              <w:autoSpaceDE w:val="0"/>
              <w:autoSpaceDN w:val="0"/>
              <w:adjustRightInd w:val="0"/>
              <w:ind w:left="176" w:right="-896" w:hanging="176"/>
              <w:rPr>
                <w:rFonts w:cs="Arial"/>
                <w:sz w:val="22"/>
                <w:szCs w:val="22"/>
              </w:rPr>
            </w:pPr>
            <w:r w:rsidRPr="00583DDE">
              <w:rPr>
                <w:rFonts w:cs="Arial"/>
                <w:sz w:val="22"/>
                <w:szCs w:val="22"/>
              </w:rPr>
              <w:t>Key aligned delivery partners in LCC</w:t>
            </w:r>
          </w:p>
          <w:p w:rsidR="00D274F3" w:rsidRPr="00583DDE" w:rsidRDefault="00D274F3" w:rsidP="007B44D0">
            <w:pPr>
              <w:numPr>
                <w:ilvl w:val="0"/>
                <w:numId w:val="12"/>
              </w:numPr>
              <w:autoSpaceDE w:val="0"/>
              <w:autoSpaceDN w:val="0"/>
              <w:adjustRightInd w:val="0"/>
              <w:ind w:left="176" w:right="-896" w:hanging="176"/>
              <w:rPr>
                <w:rFonts w:cs="Arial"/>
                <w:sz w:val="22"/>
                <w:szCs w:val="22"/>
              </w:rPr>
            </w:pPr>
            <w:r w:rsidRPr="00583DDE">
              <w:rPr>
                <w:rFonts w:cs="Arial"/>
                <w:sz w:val="22"/>
                <w:szCs w:val="22"/>
              </w:rPr>
              <w:t>Elected Members</w:t>
            </w:r>
          </w:p>
        </w:tc>
        <w:tc>
          <w:tcPr>
            <w:tcW w:w="1486" w:type="pct"/>
            <w:shd w:val="clear" w:color="auto" w:fill="auto"/>
          </w:tcPr>
          <w:p w:rsidR="00D274F3" w:rsidRPr="00583DDE" w:rsidRDefault="00D274F3" w:rsidP="007B44D0">
            <w:pPr>
              <w:numPr>
                <w:ilvl w:val="0"/>
                <w:numId w:val="12"/>
              </w:numPr>
              <w:autoSpaceDE w:val="0"/>
              <w:autoSpaceDN w:val="0"/>
              <w:adjustRightInd w:val="0"/>
              <w:ind w:left="318" w:right="-896" w:hanging="284"/>
              <w:rPr>
                <w:rFonts w:cs="Arial"/>
                <w:sz w:val="22"/>
                <w:szCs w:val="22"/>
              </w:rPr>
            </w:pPr>
            <w:r w:rsidRPr="00583DDE">
              <w:rPr>
                <w:rFonts w:cs="Arial"/>
                <w:sz w:val="22"/>
                <w:szCs w:val="22"/>
              </w:rPr>
              <w:t xml:space="preserve">External commissioned </w:t>
            </w:r>
          </w:p>
          <w:p w:rsidR="00D274F3" w:rsidRPr="00583DDE" w:rsidRDefault="00D274F3" w:rsidP="007B44D0">
            <w:pPr>
              <w:autoSpaceDE w:val="0"/>
              <w:autoSpaceDN w:val="0"/>
              <w:adjustRightInd w:val="0"/>
              <w:ind w:left="318" w:right="-896"/>
              <w:rPr>
                <w:rFonts w:cs="Arial"/>
                <w:sz w:val="22"/>
                <w:szCs w:val="22"/>
              </w:rPr>
            </w:pPr>
            <w:r w:rsidRPr="00583DDE">
              <w:rPr>
                <w:rFonts w:cs="Arial"/>
                <w:sz w:val="22"/>
                <w:szCs w:val="22"/>
              </w:rPr>
              <w:t>organisations</w:t>
            </w:r>
          </w:p>
          <w:p w:rsidR="00D274F3" w:rsidRPr="00583DDE" w:rsidRDefault="00D274F3" w:rsidP="007B44D0">
            <w:pPr>
              <w:numPr>
                <w:ilvl w:val="0"/>
                <w:numId w:val="12"/>
              </w:numPr>
              <w:autoSpaceDE w:val="0"/>
              <w:autoSpaceDN w:val="0"/>
              <w:adjustRightInd w:val="0"/>
              <w:ind w:left="318" w:right="-896" w:hanging="284"/>
              <w:rPr>
                <w:rFonts w:cs="Arial"/>
                <w:sz w:val="22"/>
                <w:szCs w:val="22"/>
              </w:rPr>
            </w:pPr>
            <w:r w:rsidRPr="00583DDE">
              <w:rPr>
                <w:rFonts w:cs="Arial"/>
                <w:sz w:val="22"/>
                <w:szCs w:val="22"/>
              </w:rPr>
              <w:t xml:space="preserve">Key aligned delivery </w:t>
            </w:r>
          </w:p>
          <w:p w:rsidR="00D274F3" w:rsidRPr="00583DDE" w:rsidRDefault="00D274F3" w:rsidP="007B44D0">
            <w:pPr>
              <w:autoSpaceDE w:val="0"/>
              <w:autoSpaceDN w:val="0"/>
              <w:adjustRightInd w:val="0"/>
              <w:ind w:left="318" w:right="-896"/>
              <w:rPr>
                <w:rFonts w:cs="Arial"/>
                <w:sz w:val="22"/>
                <w:szCs w:val="22"/>
              </w:rPr>
            </w:pPr>
            <w:r w:rsidRPr="00583DDE">
              <w:rPr>
                <w:rFonts w:cs="Arial"/>
                <w:sz w:val="22"/>
                <w:szCs w:val="22"/>
              </w:rPr>
              <w:t>partners e.g.: District Councils/Police/CCGs/</w:t>
            </w:r>
          </w:p>
          <w:p w:rsidR="00D274F3" w:rsidRPr="00583DDE" w:rsidRDefault="00D274F3" w:rsidP="007B44D0">
            <w:pPr>
              <w:autoSpaceDE w:val="0"/>
              <w:autoSpaceDN w:val="0"/>
              <w:adjustRightInd w:val="0"/>
              <w:ind w:left="318" w:right="-896"/>
              <w:rPr>
                <w:rFonts w:cs="Arial"/>
                <w:sz w:val="22"/>
                <w:szCs w:val="22"/>
              </w:rPr>
            </w:pPr>
            <w:r w:rsidRPr="00583DDE">
              <w:rPr>
                <w:rFonts w:cs="Arial"/>
                <w:sz w:val="22"/>
                <w:szCs w:val="22"/>
              </w:rPr>
              <w:t>Schools/VCF Sector etc.</w:t>
            </w:r>
          </w:p>
        </w:tc>
        <w:tc>
          <w:tcPr>
            <w:tcW w:w="1307" w:type="pct"/>
            <w:shd w:val="clear" w:color="auto" w:fill="auto"/>
          </w:tcPr>
          <w:p w:rsidR="00D274F3" w:rsidRPr="00583DDE" w:rsidRDefault="00D274F3" w:rsidP="007B44D0">
            <w:pPr>
              <w:numPr>
                <w:ilvl w:val="0"/>
                <w:numId w:val="12"/>
              </w:numPr>
              <w:autoSpaceDE w:val="0"/>
              <w:autoSpaceDN w:val="0"/>
              <w:adjustRightInd w:val="0"/>
              <w:ind w:left="317" w:right="-896" w:hanging="283"/>
              <w:rPr>
                <w:rFonts w:cs="Arial"/>
                <w:sz w:val="22"/>
                <w:szCs w:val="22"/>
              </w:rPr>
            </w:pPr>
            <w:r w:rsidRPr="00583DDE">
              <w:rPr>
                <w:rFonts w:cs="Arial"/>
                <w:sz w:val="22"/>
                <w:szCs w:val="22"/>
              </w:rPr>
              <w:t xml:space="preserve">Service users and </w:t>
            </w:r>
          </w:p>
          <w:p w:rsidR="00D274F3" w:rsidRPr="00583DDE" w:rsidRDefault="00D274F3" w:rsidP="007B44D0">
            <w:pPr>
              <w:numPr>
                <w:ilvl w:val="0"/>
                <w:numId w:val="12"/>
              </w:numPr>
              <w:autoSpaceDE w:val="0"/>
              <w:autoSpaceDN w:val="0"/>
              <w:adjustRightInd w:val="0"/>
              <w:ind w:left="317" w:right="-896" w:hanging="283"/>
              <w:rPr>
                <w:rFonts w:cs="Arial"/>
                <w:sz w:val="22"/>
                <w:szCs w:val="22"/>
              </w:rPr>
            </w:pPr>
            <w:r w:rsidRPr="00583DDE">
              <w:rPr>
                <w:rFonts w:cs="Arial"/>
                <w:sz w:val="22"/>
                <w:szCs w:val="22"/>
              </w:rPr>
              <w:t>their families</w:t>
            </w:r>
          </w:p>
          <w:p w:rsidR="00D274F3" w:rsidRPr="00583DDE" w:rsidRDefault="00D274F3" w:rsidP="007B44D0">
            <w:pPr>
              <w:numPr>
                <w:ilvl w:val="0"/>
                <w:numId w:val="12"/>
              </w:numPr>
              <w:autoSpaceDE w:val="0"/>
              <w:autoSpaceDN w:val="0"/>
              <w:adjustRightInd w:val="0"/>
              <w:ind w:left="317" w:right="-896" w:hanging="283"/>
              <w:rPr>
                <w:rFonts w:cs="Arial"/>
                <w:sz w:val="22"/>
                <w:szCs w:val="22"/>
              </w:rPr>
            </w:pPr>
            <w:r w:rsidRPr="00583DDE">
              <w:rPr>
                <w:rFonts w:cs="Arial"/>
                <w:sz w:val="22"/>
                <w:szCs w:val="22"/>
              </w:rPr>
              <w:t xml:space="preserve">Community Leaders </w:t>
            </w:r>
          </w:p>
          <w:p w:rsidR="00D274F3" w:rsidRPr="00583DDE" w:rsidRDefault="00D274F3" w:rsidP="007B44D0">
            <w:pPr>
              <w:numPr>
                <w:ilvl w:val="0"/>
                <w:numId w:val="12"/>
              </w:numPr>
              <w:autoSpaceDE w:val="0"/>
              <w:autoSpaceDN w:val="0"/>
              <w:adjustRightInd w:val="0"/>
              <w:ind w:left="317" w:right="-896" w:hanging="283"/>
              <w:rPr>
                <w:rFonts w:cs="Arial"/>
                <w:sz w:val="22"/>
                <w:szCs w:val="22"/>
              </w:rPr>
            </w:pPr>
            <w:r w:rsidRPr="00583DDE">
              <w:rPr>
                <w:rFonts w:cs="Arial"/>
                <w:sz w:val="22"/>
                <w:szCs w:val="22"/>
              </w:rPr>
              <w:t>Service User Forums</w:t>
            </w:r>
          </w:p>
        </w:tc>
        <w:tc>
          <w:tcPr>
            <w:tcW w:w="1135" w:type="pct"/>
            <w:shd w:val="clear" w:color="auto" w:fill="auto"/>
          </w:tcPr>
          <w:p w:rsidR="00D274F3" w:rsidRPr="00583DDE" w:rsidRDefault="00D274F3" w:rsidP="007B44D0">
            <w:pPr>
              <w:numPr>
                <w:ilvl w:val="0"/>
                <w:numId w:val="12"/>
              </w:numPr>
              <w:autoSpaceDE w:val="0"/>
              <w:autoSpaceDN w:val="0"/>
              <w:adjustRightInd w:val="0"/>
              <w:ind w:left="175" w:right="-896" w:hanging="175"/>
              <w:rPr>
                <w:rFonts w:cs="Arial"/>
                <w:sz w:val="22"/>
                <w:szCs w:val="22"/>
              </w:rPr>
            </w:pPr>
            <w:r w:rsidRPr="00583DDE">
              <w:rPr>
                <w:rFonts w:cs="Arial"/>
                <w:sz w:val="22"/>
                <w:szCs w:val="22"/>
              </w:rPr>
              <w:t xml:space="preserve">Department for </w:t>
            </w:r>
          </w:p>
          <w:p w:rsidR="00D274F3" w:rsidRPr="00583DDE" w:rsidRDefault="00D274F3" w:rsidP="007B44D0">
            <w:pPr>
              <w:autoSpaceDE w:val="0"/>
              <w:autoSpaceDN w:val="0"/>
              <w:adjustRightInd w:val="0"/>
              <w:ind w:left="175" w:right="-896"/>
              <w:rPr>
                <w:rFonts w:cs="Arial"/>
                <w:sz w:val="22"/>
                <w:szCs w:val="22"/>
              </w:rPr>
            </w:pPr>
            <w:r w:rsidRPr="00583DDE">
              <w:rPr>
                <w:rFonts w:cs="Arial"/>
                <w:sz w:val="22"/>
                <w:szCs w:val="22"/>
              </w:rPr>
              <w:t xml:space="preserve">Education  </w:t>
            </w:r>
          </w:p>
          <w:p w:rsidR="00D274F3" w:rsidRPr="00583DDE" w:rsidRDefault="00D274F3" w:rsidP="007B44D0">
            <w:pPr>
              <w:autoSpaceDE w:val="0"/>
              <w:autoSpaceDN w:val="0"/>
              <w:adjustRightInd w:val="0"/>
              <w:ind w:left="175" w:right="-896"/>
              <w:rPr>
                <w:rFonts w:cs="Arial"/>
                <w:sz w:val="22"/>
                <w:szCs w:val="22"/>
              </w:rPr>
            </w:pPr>
            <w:r w:rsidRPr="00583DDE">
              <w:rPr>
                <w:rFonts w:cs="Arial"/>
                <w:sz w:val="22"/>
                <w:szCs w:val="22"/>
              </w:rPr>
              <w:t>(with respect</w:t>
            </w:r>
          </w:p>
          <w:p w:rsidR="00D274F3" w:rsidRPr="00583DDE" w:rsidRDefault="00D274F3" w:rsidP="007B44D0">
            <w:pPr>
              <w:autoSpaceDE w:val="0"/>
              <w:autoSpaceDN w:val="0"/>
              <w:adjustRightInd w:val="0"/>
              <w:ind w:left="175" w:right="-896"/>
              <w:rPr>
                <w:rFonts w:cs="Arial"/>
                <w:sz w:val="22"/>
                <w:szCs w:val="22"/>
              </w:rPr>
            </w:pPr>
            <w:r w:rsidRPr="00583DDE">
              <w:rPr>
                <w:rFonts w:cs="Arial"/>
                <w:sz w:val="22"/>
                <w:szCs w:val="22"/>
              </w:rPr>
              <w:t xml:space="preserve">to Children Centres, </w:t>
            </w:r>
          </w:p>
          <w:p w:rsidR="00D274F3" w:rsidRPr="00583DDE" w:rsidRDefault="00D274F3" w:rsidP="007B44D0">
            <w:pPr>
              <w:autoSpaceDE w:val="0"/>
              <w:autoSpaceDN w:val="0"/>
              <w:adjustRightInd w:val="0"/>
              <w:ind w:left="175" w:right="-896"/>
              <w:rPr>
                <w:rFonts w:cs="Arial"/>
                <w:sz w:val="22"/>
                <w:szCs w:val="22"/>
              </w:rPr>
            </w:pPr>
            <w:r w:rsidRPr="00583DDE">
              <w:rPr>
                <w:rFonts w:cs="Arial"/>
                <w:sz w:val="22"/>
                <w:szCs w:val="22"/>
              </w:rPr>
              <w:t xml:space="preserve">Ofsted) </w:t>
            </w:r>
          </w:p>
        </w:tc>
      </w:tr>
    </w:tbl>
    <w:p w:rsidR="00D274F3" w:rsidRPr="00583DDE" w:rsidRDefault="00D274F3" w:rsidP="00D274F3">
      <w:pPr>
        <w:autoSpaceDE w:val="0"/>
        <w:autoSpaceDN w:val="0"/>
        <w:adjustRightInd w:val="0"/>
        <w:rPr>
          <w:rFonts w:cs="Arial"/>
          <w:szCs w:val="24"/>
        </w:rPr>
      </w:pPr>
    </w:p>
    <w:p w:rsidR="00D274F3" w:rsidRPr="00583DDE" w:rsidRDefault="00D274F3" w:rsidP="00D274F3">
      <w:pPr>
        <w:autoSpaceDE w:val="0"/>
        <w:autoSpaceDN w:val="0"/>
        <w:adjustRightInd w:val="0"/>
        <w:rPr>
          <w:rFonts w:cs="Arial"/>
          <w:szCs w:val="24"/>
        </w:rPr>
      </w:pPr>
      <w:r w:rsidRPr="00583DDE">
        <w:rPr>
          <w:rFonts w:cs="Arial"/>
          <w:szCs w:val="24"/>
        </w:rPr>
        <w:t>The consultation process will:</w:t>
      </w:r>
    </w:p>
    <w:p w:rsidR="00D274F3" w:rsidRPr="00583DDE" w:rsidRDefault="00D274F3" w:rsidP="00D274F3">
      <w:pPr>
        <w:numPr>
          <w:ilvl w:val="0"/>
          <w:numId w:val="4"/>
        </w:numPr>
        <w:autoSpaceDE w:val="0"/>
        <w:autoSpaceDN w:val="0"/>
        <w:adjustRightInd w:val="0"/>
        <w:ind w:right="-23"/>
        <w:contextualSpacing/>
        <w:rPr>
          <w:rFonts w:eastAsia="Calibri" w:cs="Arial"/>
          <w:szCs w:val="24"/>
          <w:lang w:eastAsia="en-US"/>
        </w:rPr>
      </w:pPr>
      <w:r w:rsidRPr="00583DDE">
        <w:rPr>
          <w:rFonts w:eastAsia="Calibri" w:cs="Arial"/>
          <w:szCs w:val="24"/>
          <w:lang w:eastAsia="en-US"/>
        </w:rPr>
        <w:lastRenderedPageBreak/>
        <w:t>Review alignment and explore opportunities for merger of existing service provision outlets to improve service delivery and outcomes, whilst maintaining sufficient distribution of neighbourhood centres to meet reach and access requirements</w:t>
      </w:r>
    </w:p>
    <w:p w:rsidR="00D274F3" w:rsidRPr="00583DDE" w:rsidRDefault="00D274F3" w:rsidP="00D274F3">
      <w:pPr>
        <w:numPr>
          <w:ilvl w:val="0"/>
          <w:numId w:val="4"/>
        </w:numPr>
        <w:autoSpaceDE w:val="0"/>
        <w:autoSpaceDN w:val="0"/>
        <w:adjustRightInd w:val="0"/>
        <w:ind w:right="-23"/>
        <w:contextualSpacing/>
        <w:rPr>
          <w:rFonts w:eastAsia="Calibri" w:cs="Arial"/>
          <w:szCs w:val="24"/>
          <w:lang w:eastAsia="en-US"/>
        </w:rPr>
      </w:pPr>
      <w:r w:rsidRPr="00583DDE">
        <w:rPr>
          <w:rFonts w:eastAsia="Calibri" w:cs="Arial"/>
          <w:szCs w:val="24"/>
          <w:lang w:eastAsia="en-US"/>
        </w:rPr>
        <w:t>Re</w:t>
      </w:r>
      <w:r w:rsidRPr="00583DDE">
        <w:rPr>
          <w:rFonts w:ascii="Cambria Math" w:eastAsia="Calibri" w:hAnsi="Cambria Math" w:cs="Cambria Math"/>
          <w:szCs w:val="24"/>
          <w:lang w:eastAsia="en-US"/>
        </w:rPr>
        <w:t>‐</w:t>
      </w:r>
      <w:r w:rsidRPr="00583DDE">
        <w:rPr>
          <w:rFonts w:eastAsia="Calibri" w:cs="Arial"/>
          <w:szCs w:val="24"/>
          <w:lang w:eastAsia="en-US"/>
        </w:rPr>
        <w:t>align geographical reach areas to ensure that all families still have an identified "neighbourhood centre" linked to their community.  This would see a service aligned with the Councils 34 service planning areas supplemented by a clear outreach support offer</w:t>
      </w:r>
    </w:p>
    <w:p w:rsidR="00D274F3" w:rsidRPr="00583DDE" w:rsidRDefault="00D274F3" w:rsidP="00D274F3">
      <w:pPr>
        <w:numPr>
          <w:ilvl w:val="0"/>
          <w:numId w:val="4"/>
        </w:numPr>
        <w:autoSpaceDE w:val="0"/>
        <w:autoSpaceDN w:val="0"/>
        <w:adjustRightInd w:val="0"/>
        <w:ind w:right="-23"/>
        <w:contextualSpacing/>
        <w:rPr>
          <w:rFonts w:eastAsia="Calibri" w:cs="Arial"/>
          <w:szCs w:val="24"/>
          <w:lang w:eastAsia="en-US"/>
        </w:rPr>
      </w:pPr>
      <w:r w:rsidRPr="00583DDE">
        <w:rPr>
          <w:rFonts w:eastAsia="Calibri" w:cs="Arial"/>
          <w:szCs w:val="24"/>
          <w:lang w:eastAsia="en-US"/>
        </w:rPr>
        <w:t>Review accountability and governance structures in line with realigned geographical reach areas</w:t>
      </w:r>
    </w:p>
    <w:p w:rsidR="00D274F3" w:rsidRPr="00583DDE" w:rsidRDefault="00D274F3" w:rsidP="00D274F3">
      <w:pPr>
        <w:numPr>
          <w:ilvl w:val="0"/>
          <w:numId w:val="4"/>
        </w:numPr>
        <w:autoSpaceDE w:val="0"/>
        <w:autoSpaceDN w:val="0"/>
        <w:adjustRightInd w:val="0"/>
        <w:ind w:right="-23"/>
        <w:contextualSpacing/>
        <w:rPr>
          <w:rFonts w:eastAsia="Calibri" w:cs="Arial"/>
          <w:szCs w:val="24"/>
          <w:lang w:eastAsia="en-US"/>
        </w:rPr>
      </w:pPr>
      <w:r w:rsidRPr="00583DDE">
        <w:rPr>
          <w:rFonts w:eastAsia="Calibri" w:cs="Arial"/>
          <w:szCs w:val="24"/>
          <w:lang w:eastAsia="en-US"/>
        </w:rPr>
        <w:t>Review the designation status of Children’s Centres/ Young People Service in Lancashire as part of the development of neighbourhood centre</w:t>
      </w:r>
    </w:p>
    <w:p w:rsidR="00D274F3" w:rsidRPr="00583DDE" w:rsidRDefault="00D274F3" w:rsidP="00D274F3">
      <w:pPr>
        <w:numPr>
          <w:ilvl w:val="0"/>
          <w:numId w:val="4"/>
        </w:numPr>
        <w:autoSpaceDE w:val="0"/>
        <w:autoSpaceDN w:val="0"/>
        <w:adjustRightInd w:val="0"/>
        <w:rPr>
          <w:rFonts w:cs="Arial"/>
          <w:szCs w:val="24"/>
        </w:rPr>
      </w:pPr>
      <w:r w:rsidRPr="00583DDE">
        <w:rPr>
          <w:rFonts w:cs="Arial"/>
          <w:szCs w:val="24"/>
        </w:rPr>
        <w:t>Build upon established partnerships and engaging in new partnerships to benefit mutual working arrangements, shared expertise, skill sets and performance outcomes for the benefit of children and their families and also support the delivery of statutory social work.</w:t>
      </w:r>
    </w:p>
    <w:p w:rsidR="00D274F3" w:rsidRPr="00583DDE" w:rsidRDefault="00D274F3" w:rsidP="00D274F3">
      <w:pPr>
        <w:numPr>
          <w:ilvl w:val="0"/>
          <w:numId w:val="4"/>
        </w:numPr>
        <w:autoSpaceDE w:val="0"/>
        <w:autoSpaceDN w:val="0"/>
        <w:adjustRightInd w:val="0"/>
        <w:rPr>
          <w:rFonts w:cs="Arial"/>
          <w:szCs w:val="24"/>
        </w:rPr>
      </w:pPr>
      <w:r w:rsidRPr="00583DDE">
        <w:rPr>
          <w:rFonts w:cs="Arial"/>
          <w:szCs w:val="24"/>
        </w:rPr>
        <w:t>Review workforce development needs to ensure the service has the capacity and capability to deliver this wider service remit</w:t>
      </w:r>
    </w:p>
    <w:p w:rsidR="00D274F3" w:rsidRPr="00583DDE" w:rsidRDefault="00D274F3" w:rsidP="00D274F3">
      <w:pPr>
        <w:numPr>
          <w:ilvl w:val="0"/>
          <w:numId w:val="4"/>
        </w:numPr>
        <w:autoSpaceDE w:val="0"/>
        <w:autoSpaceDN w:val="0"/>
        <w:adjustRightInd w:val="0"/>
        <w:rPr>
          <w:rFonts w:cs="Arial"/>
          <w:szCs w:val="24"/>
        </w:rPr>
      </w:pPr>
      <w:r w:rsidRPr="00583DDE">
        <w:rPr>
          <w:rFonts w:cs="Arial"/>
          <w:szCs w:val="24"/>
        </w:rPr>
        <w:t>Develop training opportunities to allow staff to retrain and gain professional qualified social worker status</w:t>
      </w:r>
    </w:p>
    <w:p w:rsidR="00D274F3" w:rsidRPr="00583DDE" w:rsidRDefault="00D274F3" w:rsidP="00D274F3">
      <w:pPr>
        <w:numPr>
          <w:ilvl w:val="0"/>
          <w:numId w:val="4"/>
        </w:numPr>
        <w:autoSpaceDE w:val="0"/>
        <w:autoSpaceDN w:val="0"/>
        <w:adjustRightInd w:val="0"/>
        <w:rPr>
          <w:rFonts w:cs="Arial"/>
          <w:szCs w:val="24"/>
        </w:rPr>
      </w:pPr>
      <w:r w:rsidRPr="00583DDE">
        <w:rPr>
          <w:rFonts w:cs="Arial"/>
          <w:szCs w:val="24"/>
        </w:rPr>
        <w:t>Review and refine operational processes and procedures to enable “smarter” working outcomes</w:t>
      </w:r>
    </w:p>
    <w:p w:rsidR="00D274F3" w:rsidRPr="00583DDE" w:rsidRDefault="00D274F3" w:rsidP="00D274F3">
      <w:pPr>
        <w:numPr>
          <w:ilvl w:val="0"/>
          <w:numId w:val="4"/>
        </w:numPr>
        <w:autoSpaceDE w:val="0"/>
        <w:autoSpaceDN w:val="0"/>
        <w:adjustRightInd w:val="0"/>
        <w:rPr>
          <w:rFonts w:cs="Arial"/>
          <w:szCs w:val="24"/>
        </w:rPr>
      </w:pPr>
      <w:r w:rsidRPr="00583DDE">
        <w:rPr>
          <w:rFonts w:cs="Arial"/>
          <w:szCs w:val="24"/>
        </w:rPr>
        <w:t>Develop a 'fit for purpose' management information system to evidence the effectiveness of the service in improving outcomes for children, young people and families, contributing to the draft corporate strategic objectives</w:t>
      </w:r>
    </w:p>
    <w:p w:rsidR="00D274F3" w:rsidRPr="00583DDE" w:rsidRDefault="00D274F3" w:rsidP="00D274F3">
      <w:pPr>
        <w:rPr>
          <w:b/>
        </w:rPr>
      </w:pPr>
    </w:p>
    <w:p w:rsidR="00D274F3" w:rsidRPr="00583DDE" w:rsidRDefault="00D274F3" w:rsidP="00D274F3">
      <w:pPr>
        <w:rPr>
          <w:rFonts w:cs="Arial"/>
          <w:szCs w:val="24"/>
        </w:rPr>
      </w:pPr>
      <w:r w:rsidRPr="00583DDE">
        <w:rPr>
          <w:rFonts w:cs="Arial"/>
          <w:szCs w:val="24"/>
        </w:rPr>
        <w:t>Given the financial imperative on the Council it is intended that the progression of this process is accelerated in line with the following proposed indicative timeline;</w:t>
      </w:r>
    </w:p>
    <w:p w:rsidR="00D274F3" w:rsidRPr="00583DDE" w:rsidRDefault="00D274F3" w:rsidP="00D274F3">
      <w:pPr>
        <w:rPr>
          <w:rFonts w:cs="Arial"/>
          <w:szCs w:val="24"/>
        </w:rPr>
      </w:pPr>
    </w:p>
    <w:p w:rsidR="00D274F3" w:rsidRPr="00583DDE" w:rsidRDefault="00D274F3" w:rsidP="00D274F3">
      <w:pPr>
        <w:rPr>
          <w:rFonts w:cs="Arial"/>
          <w:sz w:val="8"/>
          <w:szCs w:val="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781"/>
        <w:gridCol w:w="2881"/>
      </w:tblGrid>
      <w:tr w:rsidR="00D274F3" w:rsidRPr="00583DDE" w:rsidTr="007B44D0">
        <w:trPr>
          <w:trHeight w:val="273"/>
        </w:trPr>
        <w:tc>
          <w:tcPr>
            <w:tcW w:w="9214" w:type="dxa"/>
            <w:gridSpan w:val="3"/>
            <w:shd w:val="clear" w:color="auto" w:fill="D9D9D9"/>
          </w:tcPr>
          <w:p w:rsidR="00D274F3" w:rsidRPr="00583DDE" w:rsidRDefault="00D274F3" w:rsidP="007B44D0">
            <w:pPr>
              <w:jc w:val="center"/>
              <w:rPr>
                <w:rFonts w:cs="Arial"/>
                <w:b/>
                <w:szCs w:val="24"/>
              </w:rPr>
            </w:pPr>
            <w:r w:rsidRPr="00583DDE">
              <w:rPr>
                <w:rFonts w:cs="Arial"/>
                <w:b/>
                <w:szCs w:val="24"/>
              </w:rPr>
              <w:t>Timeline - Key Milestones</w:t>
            </w:r>
          </w:p>
        </w:tc>
      </w:tr>
      <w:tr w:rsidR="00D274F3" w:rsidRPr="00583DDE" w:rsidTr="007B44D0">
        <w:trPr>
          <w:trHeight w:val="273"/>
        </w:trPr>
        <w:tc>
          <w:tcPr>
            <w:tcW w:w="2552" w:type="dxa"/>
            <w:shd w:val="clear" w:color="auto" w:fill="auto"/>
          </w:tcPr>
          <w:p w:rsidR="00D274F3" w:rsidRPr="00583DDE" w:rsidRDefault="00D274F3" w:rsidP="007B44D0">
            <w:pPr>
              <w:jc w:val="center"/>
              <w:rPr>
                <w:rFonts w:cs="Arial"/>
                <w:b/>
                <w:szCs w:val="24"/>
              </w:rPr>
            </w:pPr>
            <w:r w:rsidRPr="00583DDE">
              <w:rPr>
                <w:rFonts w:cs="Arial"/>
                <w:b/>
                <w:szCs w:val="24"/>
              </w:rPr>
              <w:t>Step 1 – Development</w:t>
            </w:r>
          </w:p>
          <w:p w:rsidR="00D274F3" w:rsidRPr="00583DDE" w:rsidRDefault="00D274F3" w:rsidP="007B44D0">
            <w:pPr>
              <w:jc w:val="center"/>
              <w:rPr>
                <w:rFonts w:cs="Arial"/>
                <w:szCs w:val="24"/>
              </w:rPr>
            </w:pPr>
            <w:r w:rsidRPr="00583DDE">
              <w:rPr>
                <w:rFonts w:cs="Arial"/>
                <w:szCs w:val="24"/>
              </w:rPr>
              <w:t>October – November 2015</w:t>
            </w:r>
          </w:p>
        </w:tc>
        <w:tc>
          <w:tcPr>
            <w:tcW w:w="3781" w:type="dxa"/>
            <w:shd w:val="clear" w:color="auto" w:fill="D9D9D9"/>
          </w:tcPr>
          <w:p w:rsidR="00D274F3" w:rsidRPr="00583DDE" w:rsidRDefault="00D274F3" w:rsidP="007B44D0">
            <w:pPr>
              <w:jc w:val="center"/>
              <w:rPr>
                <w:rFonts w:cs="Arial"/>
                <w:b/>
                <w:szCs w:val="24"/>
              </w:rPr>
            </w:pPr>
            <w:r w:rsidRPr="00583DDE">
              <w:rPr>
                <w:rFonts w:cs="Arial"/>
                <w:b/>
                <w:szCs w:val="24"/>
              </w:rPr>
              <w:t>Step 2 – Consultation</w:t>
            </w:r>
          </w:p>
          <w:p w:rsidR="00D274F3" w:rsidRPr="00583DDE" w:rsidRDefault="00D274F3" w:rsidP="007B44D0">
            <w:pPr>
              <w:jc w:val="center"/>
              <w:rPr>
                <w:rFonts w:cs="Arial"/>
                <w:szCs w:val="24"/>
              </w:rPr>
            </w:pPr>
            <w:r w:rsidRPr="00583DDE">
              <w:rPr>
                <w:rFonts w:cs="Arial"/>
                <w:szCs w:val="24"/>
              </w:rPr>
              <w:t>December 2015 – March 2016</w:t>
            </w:r>
          </w:p>
        </w:tc>
        <w:tc>
          <w:tcPr>
            <w:tcW w:w="2881" w:type="dxa"/>
            <w:shd w:val="clear" w:color="auto" w:fill="auto"/>
          </w:tcPr>
          <w:p w:rsidR="00D274F3" w:rsidRPr="00583DDE" w:rsidRDefault="00D274F3" w:rsidP="007B44D0">
            <w:pPr>
              <w:jc w:val="center"/>
              <w:rPr>
                <w:rFonts w:cs="Arial"/>
                <w:b/>
                <w:szCs w:val="24"/>
              </w:rPr>
            </w:pPr>
            <w:r w:rsidRPr="00583DDE">
              <w:rPr>
                <w:rFonts w:cs="Arial"/>
                <w:b/>
                <w:szCs w:val="24"/>
              </w:rPr>
              <w:t>Step 3 – Implementation</w:t>
            </w:r>
          </w:p>
          <w:p w:rsidR="00D274F3" w:rsidRPr="00583DDE" w:rsidRDefault="00D274F3" w:rsidP="007B44D0">
            <w:pPr>
              <w:jc w:val="center"/>
              <w:rPr>
                <w:rFonts w:cs="Arial"/>
                <w:szCs w:val="24"/>
              </w:rPr>
            </w:pPr>
            <w:r w:rsidRPr="00583DDE">
              <w:rPr>
                <w:rFonts w:cs="Arial"/>
                <w:szCs w:val="24"/>
              </w:rPr>
              <w:t>April 2016 – March 2017</w:t>
            </w:r>
          </w:p>
        </w:tc>
      </w:tr>
      <w:tr w:rsidR="00D274F3" w:rsidRPr="00583DDE" w:rsidTr="007B44D0">
        <w:trPr>
          <w:trHeight w:val="2158"/>
        </w:trPr>
        <w:tc>
          <w:tcPr>
            <w:tcW w:w="2552" w:type="dxa"/>
            <w:shd w:val="clear" w:color="auto" w:fill="auto"/>
          </w:tcPr>
          <w:p w:rsidR="00D274F3" w:rsidRPr="00583DDE" w:rsidRDefault="00D274F3" w:rsidP="007B44D0">
            <w:pPr>
              <w:numPr>
                <w:ilvl w:val="0"/>
                <w:numId w:val="11"/>
              </w:numPr>
              <w:ind w:left="317" w:hanging="317"/>
              <w:rPr>
                <w:rFonts w:cs="Arial"/>
                <w:szCs w:val="24"/>
              </w:rPr>
            </w:pPr>
            <w:r w:rsidRPr="00583DDE">
              <w:rPr>
                <w:rFonts w:cs="Arial"/>
                <w:szCs w:val="24"/>
              </w:rPr>
              <w:t>Proposal for development/consultation on model – Cabinet Item 26</w:t>
            </w:r>
            <w:r w:rsidRPr="00583DDE">
              <w:rPr>
                <w:rFonts w:cs="Arial"/>
                <w:szCs w:val="24"/>
                <w:vertAlign w:val="superscript"/>
              </w:rPr>
              <w:t>th</w:t>
            </w:r>
            <w:r w:rsidRPr="00583DDE">
              <w:rPr>
                <w:rFonts w:cs="Arial"/>
                <w:szCs w:val="24"/>
              </w:rPr>
              <w:t xml:space="preserve"> November 2015</w:t>
            </w:r>
          </w:p>
          <w:p w:rsidR="00D274F3" w:rsidRPr="00583DDE" w:rsidRDefault="00D274F3" w:rsidP="007B44D0">
            <w:pPr>
              <w:numPr>
                <w:ilvl w:val="0"/>
                <w:numId w:val="11"/>
              </w:numPr>
              <w:ind w:left="317" w:hanging="317"/>
              <w:rPr>
                <w:rFonts w:cs="Arial"/>
                <w:szCs w:val="24"/>
              </w:rPr>
            </w:pPr>
            <w:r w:rsidRPr="00583DDE">
              <w:rPr>
                <w:rFonts w:cs="Arial"/>
                <w:szCs w:val="24"/>
              </w:rPr>
              <w:t>Development of delivery model details</w:t>
            </w:r>
          </w:p>
          <w:p w:rsidR="00D274F3" w:rsidRPr="00583DDE" w:rsidRDefault="00D274F3" w:rsidP="007B44D0">
            <w:pPr>
              <w:ind w:left="720"/>
              <w:rPr>
                <w:rFonts w:cs="Arial"/>
                <w:szCs w:val="24"/>
              </w:rPr>
            </w:pPr>
          </w:p>
        </w:tc>
        <w:tc>
          <w:tcPr>
            <w:tcW w:w="3781" w:type="dxa"/>
            <w:shd w:val="clear" w:color="auto" w:fill="auto"/>
          </w:tcPr>
          <w:p w:rsidR="00D274F3" w:rsidRPr="00583DDE" w:rsidRDefault="00D274F3" w:rsidP="007B44D0">
            <w:pPr>
              <w:numPr>
                <w:ilvl w:val="0"/>
                <w:numId w:val="11"/>
              </w:numPr>
              <w:ind w:left="317" w:hanging="317"/>
              <w:rPr>
                <w:rFonts w:cs="Arial"/>
                <w:szCs w:val="24"/>
              </w:rPr>
            </w:pPr>
            <w:r w:rsidRPr="00583DDE">
              <w:rPr>
                <w:rFonts w:cs="Arial"/>
                <w:szCs w:val="24"/>
              </w:rPr>
              <w:t>Consultation with key stakeholders including current providers, communities, key delivery partners</w:t>
            </w:r>
          </w:p>
          <w:p w:rsidR="00D274F3" w:rsidRPr="00583DDE" w:rsidRDefault="00D274F3" w:rsidP="007B44D0">
            <w:pPr>
              <w:numPr>
                <w:ilvl w:val="0"/>
                <w:numId w:val="11"/>
              </w:numPr>
              <w:ind w:left="317" w:hanging="317"/>
              <w:rPr>
                <w:rFonts w:cs="Arial"/>
                <w:szCs w:val="24"/>
              </w:rPr>
            </w:pPr>
            <w:r w:rsidRPr="00583DDE">
              <w:rPr>
                <w:rFonts w:cs="Arial"/>
                <w:szCs w:val="24"/>
              </w:rPr>
              <w:t>Review Findings and adjust model</w:t>
            </w:r>
          </w:p>
          <w:p w:rsidR="00D274F3" w:rsidRPr="00583DDE" w:rsidRDefault="00D274F3" w:rsidP="007B44D0">
            <w:pPr>
              <w:numPr>
                <w:ilvl w:val="0"/>
                <w:numId w:val="11"/>
              </w:numPr>
              <w:ind w:left="317" w:hanging="317"/>
              <w:rPr>
                <w:rFonts w:cs="Arial"/>
                <w:szCs w:val="24"/>
              </w:rPr>
            </w:pPr>
            <w:r w:rsidRPr="00583DDE">
              <w:rPr>
                <w:rFonts w:cs="Arial"/>
                <w:szCs w:val="24"/>
              </w:rPr>
              <w:t xml:space="preserve">Cabinet and Full Council Decision on finalised proposal </w:t>
            </w:r>
          </w:p>
        </w:tc>
        <w:tc>
          <w:tcPr>
            <w:tcW w:w="2881" w:type="dxa"/>
            <w:shd w:val="clear" w:color="auto" w:fill="auto"/>
          </w:tcPr>
          <w:p w:rsidR="00D274F3" w:rsidRPr="00583DDE" w:rsidRDefault="00D274F3" w:rsidP="007B44D0">
            <w:pPr>
              <w:numPr>
                <w:ilvl w:val="0"/>
                <w:numId w:val="11"/>
              </w:numPr>
              <w:ind w:left="363" w:hanging="363"/>
              <w:rPr>
                <w:rFonts w:cs="Arial"/>
                <w:szCs w:val="24"/>
              </w:rPr>
            </w:pPr>
            <w:r w:rsidRPr="00583DDE">
              <w:rPr>
                <w:rFonts w:cs="Arial"/>
                <w:szCs w:val="24"/>
              </w:rPr>
              <w:t>Progression of any TUPE responsibilities</w:t>
            </w:r>
          </w:p>
          <w:p w:rsidR="00D274F3" w:rsidRPr="00583DDE" w:rsidRDefault="00D274F3" w:rsidP="007B44D0">
            <w:pPr>
              <w:numPr>
                <w:ilvl w:val="0"/>
                <w:numId w:val="11"/>
              </w:numPr>
              <w:ind w:left="363" w:hanging="363"/>
              <w:rPr>
                <w:rFonts w:cs="Arial"/>
                <w:szCs w:val="24"/>
              </w:rPr>
            </w:pPr>
            <w:r w:rsidRPr="00583DDE">
              <w:rPr>
                <w:rFonts w:cs="Arial"/>
                <w:szCs w:val="24"/>
              </w:rPr>
              <w:t>Recruitment to LCC posts for WPEHS</w:t>
            </w:r>
          </w:p>
          <w:p w:rsidR="00D274F3" w:rsidRPr="00583DDE" w:rsidRDefault="00D274F3" w:rsidP="007B44D0">
            <w:pPr>
              <w:numPr>
                <w:ilvl w:val="0"/>
                <w:numId w:val="11"/>
              </w:numPr>
              <w:ind w:left="363" w:hanging="363"/>
              <w:rPr>
                <w:rFonts w:cs="Arial"/>
                <w:szCs w:val="24"/>
              </w:rPr>
            </w:pPr>
            <w:r w:rsidRPr="00583DDE">
              <w:rPr>
                <w:rFonts w:cs="Arial"/>
                <w:szCs w:val="24"/>
              </w:rPr>
              <w:t xml:space="preserve">New Service Model begins delivery </w:t>
            </w:r>
          </w:p>
        </w:tc>
      </w:tr>
    </w:tbl>
    <w:p w:rsidR="00D274F3" w:rsidRPr="00583DDE" w:rsidRDefault="00D274F3" w:rsidP="00D274F3">
      <w:pPr>
        <w:rPr>
          <w:rFonts w:cs="Arial"/>
          <w:b/>
          <w:sz w:val="20"/>
        </w:rPr>
      </w:pPr>
    </w:p>
    <w:p w:rsidR="00D274F3" w:rsidRPr="00583DDE" w:rsidRDefault="00D274F3" w:rsidP="00D274F3">
      <w:pPr>
        <w:keepNext/>
        <w:spacing w:before="240" w:after="60"/>
        <w:outlineLvl w:val="0"/>
        <w:rPr>
          <w:rFonts w:cs="Arial"/>
          <w:b/>
          <w:bCs/>
          <w:kern w:val="32"/>
          <w:szCs w:val="24"/>
        </w:rPr>
      </w:pPr>
      <w:r w:rsidRPr="00583DDE">
        <w:rPr>
          <w:rFonts w:cs="Arial"/>
          <w:b/>
          <w:bCs/>
          <w:kern w:val="32"/>
          <w:szCs w:val="24"/>
        </w:rPr>
        <w:lastRenderedPageBreak/>
        <w:t>13. Implications</w:t>
      </w:r>
    </w:p>
    <w:p w:rsidR="00D274F3" w:rsidRPr="00583DDE" w:rsidRDefault="00D274F3" w:rsidP="00D274F3">
      <w:pPr>
        <w:rPr>
          <w:b/>
        </w:rPr>
      </w:pPr>
    </w:p>
    <w:p w:rsidR="00D274F3" w:rsidRPr="00583DDE" w:rsidRDefault="00D274F3" w:rsidP="00D274F3">
      <w:pPr>
        <w:rPr>
          <w:b/>
        </w:rPr>
      </w:pPr>
      <w:r w:rsidRPr="00583DDE">
        <w:rPr>
          <w:b/>
        </w:rPr>
        <w:t xml:space="preserve">Finance </w:t>
      </w:r>
    </w:p>
    <w:p w:rsidR="00D274F3" w:rsidRPr="00583DDE" w:rsidRDefault="00D274F3" w:rsidP="00D274F3">
      <w:pPr>
        <w:rPr>
          <w:rFonts w:cs="Arial"/>
          <w:szCs w:val="24"/>
        </w:rPr>
      </w:pPr>
      <w:r w:rsidRPr="00583DDE">
        <w:t>Sufficient financial resources to deliver proposed service model are already identified within the budget proposals in February 2015. Potential cost of transfer of undertakings including TUPE, redundancy costs prior to service redesign and increased demand might incur a</w:t>
      </w:r>
      <w:r w:rsidRPr="00583DDE">
        <w:rPr>
          <w:rFonts w:cs="Arial"/>
          <w:szCs w:val="24"/>
        </w:rPr>
        <w:t>dditional costs to the council.  This will be kept under review and addressed throughout the implementation phase.</w:t>
      </w:r>
    </w:p>
    <w:p w:rsidR="00D274F3" w:rsidRPr="00583DDE" w:rsidRDefault="00D274F3" w:rsidP="00D274F3">
      <w:pPr>
        <w:rPr>
          <w:b/>
        </w:rPr>
      </w:pPr>
    </w:p>
    <w:p w:rsidR="00D274F3" w:rsidRPr="00583DDE" w:rsidRDefault="00D274F3" w:rsidP="00D274F3">
      <w:pPr>
        <w:rPr>
          <w:rFonts w:cs="Arial"/>
          <w:b/>
          <w:szCs w:val="24"/>
        </w:rPr>
      </w:pPr>
      <w:r w:rsidRPr="00583DDE">
        <w:rPr>
          <w:rFonts w:cs="Arial"/>
          <w:b/>
          <w:szCs w:val="24"/>
        </w:rPr>
        <w:t>Legal and Procurement</w:t>
      </w:r>
    </w:p>
    <w:p w:rsidR="00D274F3" w:rsidRPr="00583DDE" w:rsidRDefault="00D274F3" w:rsidP="00D274F3">
      <w:pPr>
        <w:rPr>
          <w:rFonts w:cs="Arial"/>
          <w:szCs w:val="24"/>
        </w:rPr>
      </w:pPr>
    </w:p>
    <w:p w:rsidR="00D274F3" w:rsidRPr="00583DDE" w:rsidRDefault="00D274F3" w:rsidP="00D274F3">
      <w:pPr>
        <w:jc w:val="both"/>
        <w:rPr>
          <w:rFonts w:cs="Arial"/>
          <w:szCs w:val="24"/>
        </w:rPr>
      </w:pPr>
      <w:r w:rsidRPr="00583DDE">
        <w:rPr>
          <w:rFonts w:cs="Arial"/>
          <w:szCs w:val="24"/>
        </w:rPr>
        <w:t>Should the current externally commissioned VCFS organisations agree to undertake delivery of wider services in the Wellbeing, Prevention and Early Help service offer from April 2017, as part of a mixed economy of in-house and external service provision, this would be implemented following the completion of a compliant tender process. It is anticipated that the five organisations concerned will most likely take part in the consultation for the service redesign.</w:t>
      </w:r>
    </w:p>
    <w:p w:rsidR="00D274F3" w:rsidRPr="00583DDE" w:rsidRDefault="00D274F3" w:rsidP="00D274F3">
      <w:pPr>
        <w:jc w:val="both"/>
        <w:rPr>
          <w:rFonts w:cs="Arial"/>
          <w:szCs w:val="24"/>
        </w:rPr>
      </w:pPr>
    </w:p>
    <w:p w:rsidR="00D274F3" w:rsidRPr="00583DDE" w:rsidRDefault="00D274F3" w:rsidP="00D274F3">
      <w:pPr>
        <w:jc w:val="both"/>
        <w:rPr>
          <w:rFonts w:cs="Arial"/>
          <w:szCs w:val="24"/>
        </w:rPr>
      </w:pPr>
      <w:r w:rsidRPr="00583DDE">
        <w:rPr>
          <w:rFonts w:cs="Arial"/>
          <w:szCs w:val="24"/>
        </w:rPr>
        <w:t>The County Council is under an obligation to procure goods, services and works through tender processes which are open, fair and competitive. A failure to continue the existing contract as proposed would invariably have a negative impact upon service users.</w:t>
      </w:r>
    </w:p>
    <w:p w:rsidR="00D274F3" w:rsidRPr="00583DDE" w:rsidRDefault="00D274F3" w:rsidP="00D274F3">
      <w:pPr>
        <w:jc w:val="both"/>
        <w:rPr>
          <w:rFonts w:cs="Arial"/>
          <w:szCs w:val="24"/>
        </w:rPr>
      </w:pPr>
    </w:p>
    <w:p w:rsidR="00D274F3" w:rsidRPr="00583DDE" w:rsidRDefault="00D274F3" w:rsidP="00D274F3">
      <w:pPr>
        <w:jc w:val="both"/>
        <w:rPr>
          <w:rFonts w:cs="Arial"/>
          <w:szCs w:val="24"/>
        </w:rPr>
      </w:pPr>
      <w:r w:rsidRPr="00583DDE">
        <w:rPr>
          <w:rFonts w:cs="Arial"/>
          <w:szCs w:val="24"/>
        </w:rPr>
        <w:t>The risk of any legal challenge based upon the County Council's failure to comply with the Public Contract Regulations 2015 is mitigated to some degree by the fact that this extension is for a short period of time and potential bidders are less likely to mount a legal challenge.</w:t>
      </w:r>
    </w:p>
    <w:p w:rsidR="00D274F3" w:rsidRPr="00583DDE" w:rsidRDefault="00D274F3" w:rsidP="00D274F3">
      <w:pPr>
        <w:jc w:val="both"/>
        <w:rPr>
          <w:rFonts w:cs="Arial"/>
          <w:szCs w:val="24"/>
        </w:rPr>
      </w:pPr>
    </w:p>
    <w:p w:rsidR="00D274F3" w:rsidRPr="00583DDE" w:rsidRDefault="00D274F3" w:rsidP="00D274F3">
      <w:pPr>
        <w:tabs>
          <w:tab w:val="left" w:pos="0"/>
        </w:tabs>
        <w:jc w:val="both"/>
        <w:rPr>
          <w:rFonts w:cs="Arial"/>
          <w:szCs w:val="24"/>
        </w:rPr>
      </w:pPr>
      <w:r w:rsidRPr="00583DDE">
        <w:rPr>
          <w:rFonts w:cs="Arial"/>
          <w:szCs w:val="24"/>
        </w:rPr>
        <w:t>In summary therefore, whilst it is recommended in this report that the County Council acts in a way which could be perceived as extending an agreement that had been established in a manner that is no longer lawful (albeit for a short period), the alternative would create a more significant risk for the County Council in terms of its ability to carry on performing key functions.</w:t>
      </w:r>
    </w:p>
    <w:p w:rsidR="00D274F3" w:rsidRPr="00583DDE" w:rsidRDefault="00D274F3" w:rsidP="00D274F3">
      <w:pPr>
        <w:rPr>
          <w:rFonts w:cs="Arial"/>
          <w:szCs w:val="24"/>
        </w:rPr>
      </w:pPr>
    </w:p>
    <w:p w:rsidR="00D274F3" w:rsidRDefault="00D274F3" w:rsidP="00D274F3">
      <w:pPr>
        <w:rPr>
          <w:b/>
        </w:rPr>
      </w:pPr>
      <w:r w:rsidRPr="00583DDE">
        <w:rPr>
          <w:b/>
        </w:rPr>
        <w:t>Property Asset Management</w:t>
      </w:r>
    </w:p>
    <w:p w:rsidR="00D274F3" w:rsidRPr="00583DDE" w:rsidRDefault="00D274F3" w:rsidP="00D274F3">
      <w:pPr>
        <w:rPr>
          <w:b/>
        </w:rPr>
      </w:pPr>
    </w:p>
    <w:p w:rsidR="00D274F3" w:rsidRPr="00583DDE" w:rsidRDefault="00D274F3" w:rsidP="00D274F3">
      <w:pPr>
        <w:rPr>
          <w:b/>
        </w:rPr>
      </w:pPr>
      <w:r w:rsidRPr="00583DDE">
        <w:rPr>
          <w:rFonts w:cs="Arial"/>
          <w:szCs w:val="24"/>
        </w:rPr>
        <w:t>Adoption of the Property Strategy (Neighbourhood Centres) strategy and subsequent review and also remodelling of children centre provision with onsite day care may impact on childcare sufficiency and access to Free Early Years Education (FEE) places for 2 and 3yr olds.  This will be kept under review and addressed throughout the implementation phase.</w:t>
      </w:r>
    </w:p>
    <w:p w:rsidR="00D274F3" w:rsidRPr="00583DDE" w:rsidRDefault="00D274F3" w:rsidP="00D274F3">
      <w:pPr>
        <w:rPr>
          <w:b/>
        </w:rPr>
      </w:pPr>
    </w:p>
    <w:p w:rsidR="00D274F3" w:rsidRDefault="00D274F3" w:rsidP="00D274F3">
      <w:pPr>
        <w:rPr>
          <w:b/>
        </w:rPr>
      </w:pPr>
      <w:r w:rsidRPr="00583DDE">
        <w:rPr>
          <w:b/>
        </w:rPr>
        <w:t>Equality and Cohesion</w:t>
      </w:r>
    </w:p>
    <w:p w:rsidR="00D274F3" w:rsidRPr="00583DDE" w:rsidRDefault="00D274F3" w:rsidP="00D274F3">
      <w:pPr>
        <w:rPr>
          <w:b/>
        </w:rPr>
      </w:pPr>
    </w:p>
    <w:p w:rsidR="00D274F3" w:rsidRPr="00693020" w:rsidRDefault="00D274F3" w:rsidP="00D274F3">
      <w:r w:rsidRPr="00693020">
        <w:t xml:space="preserve">Members are asked to note that a separate report for this meeting has been prepared by the Director of Governance, Finance and Public Services. The report outlines in detail our obligations in terms of the Equality Act 2010 and specifically highlights section 149 of the act that refers to the Public Sector </w:t>
      </w:r>
      <w:r w:rsidRPr="00693020">
        <w:lastRenderedPageBreak/>
        <w:t>Equality Duty (PSED). In addition, the report explains how the legislation is applied in practice.</w:t>
      </w:r>
    </w:p>
    <w:p w:rsidR="00D274F3" w:rsidRPr="00693020" w:rsidRDefault="00D274F3" w:rsidP="00D274F3"/>
    <w:p w:rsidR="00D274F3" w:rsidRPr="00583DDE" w:rsidRDefault="00D274F3" w:rsidP="00D274F3">
      <w:r w:rsidRPr="00693020">
        <w:t>An Equality Analysis can be found at Appendix '</w:t>
      </w:r>
      <w:r>
        <w:t>B</w:t>
      </w:r>
      <w:r w:rsidRPr="00693020">
        <w:t>'. This reflects the need to review the potential impacts on people with protected characteristics following consultation on the proposed model of service delivery and the EA will then be amended, including any proposed mitigations. These impacts (along with any cumulative impacts identified in the refreshed Equality Analysis) will inform decisions regarding any changes to the proposed service delivery model which may be considered to be appropriate as well as future decisions regarding the location of neighbourhood centres and outreach services.</w:t>
      </w:r>
      <w:r>
        <w:t xml:space="preserve"> </w:t>
      </w:r>
    </w:p>
    <w:p w:rsidR="00D274F3" w:rsidRPr="00583DDE" w:rsidRDefault="00D274F3" w:rsidP="00D274F3">
      <w:pPr>
        <w:rPr>
          <w:b/>
        </w:rPr>
      </w:pPr>
    </w:p>
    <w:p w:rsidR="00D274F3" w:rsidRDefault="00D274F3" w:rsidP="00D274F3">
      <w:pPr>
        <w:rPr>
          <w:b/>
        </w:rPr>
      </w:pPr>
      <w:r w:rsidRPr="00583DDE">
        <w:rPr>
          <w:b/>
        </w:rPr>
        <w:t>Personnel</w:t>
      </w:r>
    </w:p>
    <w:p w:rsidR="00D274F3" w:rsidRPr="00583DDE" w:rsidRDefault="00D274F3" w:rsidP="00D274F3">
      <w:pPr>
        <w:rPr>
          <w:b/>
        </w:rPr>
      </w:pPr>
    </w:p>
    <w:p w:rsidR="00D274F3" w:rsidRDefault="00D274F3" w:rsidP="00D274F3">
      <w:r w:rsidRPr="00583DDE">
        <w:t>The impact of the proposed service transformation on the workforce will see a reduction from approximately 750 full time equivalent posts to 540 full time equivalent posts (a total of 210 posts reduced).</w:t>
      </w:r>
    </w:p>
    <w:p w:rsidR="00D274F3" w:rsidRPr="00583DDE" w:rsidRDefault="00D274F3" w:rsidP="00D274F3"/>
    <w:p w:rsidR="00D274F3" w:rsidRPr="00583DDE" w:rsidRDefault="00D274F3" w:rsidP="00D274F3">
      <w:r w:rsidRPr="00583DDE">
        <w:t>We will develop workforce training opportunities to ensure staff have the capability and capacity to deliver the wider remit, across the whole service.  This will be included in the scope of service transformation and will include both internal personnel and those staff in externally commissioned partner organisations.</w:t>
      </w:r>
    </w:p>
    <w:p w:rsidR="00D274F3" w:rsidRPr="00583DDE" w:rsidRDefault="00D274F3" w:rsidP="00D274F3"/>
    <w:p w:rsidR="00D274F3" w:rsidRPr="00583DDE" w:rsidRDefault="00D274F3" w:rsidP="00D274F3">
      <w:r w:rsidRPr="00583DDE">
        <w:t xml:space="preserve">There is a possibility of redundancy/VR/TUPE (TUPE from /TUPE to external providers) depending on the implications of consultation and resultant service transformation. </w:t>
      </w:r>
    </w:p>
    <w:p w:rsidR="00D274F3" w:rsidRDefault="00D274F3" w:rsidP="00D274F3"/>
    <w:p w:rsidR="00D274F3" w:rsidRDefault="00D274F3" w:rsidP="00D274F3">
      <w:pPr>
        <w:pStyle w:val="Heading5"/>
        <w:rPr>
          <w:rFonts w:ascii="Arial" w:hAnsi="Arial"/>
          <w:u w:val="none"/>
        </w:rPr>
      </w:pPr>
      <w:r>
        <w:rPr>
          <w:rFonts w:ascii="Arial" w:hAnsi="Arial"/>
          <w:u w:val="none"/>
        </w:rPr>
        <w:t>List of Background Papers</w:t>
      </w:r>
    </w:p>
    <w:p w:rsidR="00D274F3" w:rsidRDefault="00D274F3" w:rsidP="00D274F3"/>
    <w:tbl>
      <w:tblPr>
        <w:tblW w:w="9781" w:type="dxa"/>
        <w:tblInd w:w="-34" w:type="dxa"/>
        <w:tblLayout w:type="fixed"/>
        <w:tblLook w:val="0000" w:firstRow="0" w:lastRow="0" w:firstColumn="0" w:lastColumn="0" w:noHBand="0" w:noVBand="0"/>
      </w:tblPr>
      <w:tblGrid>
        <w:gridCol w:w="34"/>
        <w:gridCol w:w="3085"/>
        <w:gridCol w:w="142"/>
        <w:gridCol w:w="1276"/>
        <w:gridCol w:w="1499"/>
        <w:gridCol w:w="3178"/>
        <w:gridCol w:w="567"/>
      </w:tblGrid>
      <w:tr w:rsidR="00D274F3" w:rsidTr="007B44D0">
        <w:trPr>
          <w:gridBefore w:val="1"/>
          <w:gridAfter w:val="1"/>
          <w:wBefore w:w="34" w:type="dxa"/>
          <w:wAfter w:w="567" w:type="dxa"/>
          <w:trHeight w:val="113"/>
        </w:trPr>
        <w:tc>
          <w:tcPr>
            <w:tcW w:w="3227" w:type="dxa"/>
            <w:gridSpan w:val="2"/>
          </w:tcPr>
          <w:p w:rsidR="00D274F3" w:rsidRDefault="00D274F3" w:rsidP="007B44D0">
            <w:pPr>
              <w:pStyle w:val="Heading7"/>
              <w:rPr>
                <w:rFonts w:ascii="Arial" w:hAnsi="Arial"/>
                <w:u w:val="none"/>
              </w:rPr>
            </w:pPr>
            <w:r>
              <w:rPr>
                <w:rFonts w:ascii="Arial" w:hAnsi="Arial"/>
                <w:u w:val="none"/>
              </w:rPr>
              <w:t>Paper</w:t>
            </w:r>
          </w:p>
        </w:tc>
        <w:tc>
          <w:tcPr>
            <w:tcW w:w="2775" w:type="dxa"/>
            <w:gridSpan w:val="2"/>
          </w:tcPr>
          <w:p w:rsidR="00D274F3" w:rsidRDefault="00D274F3" w:rsidP="007B44D0">
            <w:pPr>
              <w:pStyle w:val="Heading7"/>
              <w:rPr>
                <w:rFonts w:ascii="Arial" w:hAnsi="Arial"/>
                <w:u w:val="none"/>
              </w:rPr>
            </w:pPr>
            <w:r>
              <w:rPr>
                <w:rFonts w:ascii="Arial" w:hAnsi="Arial"/>
                <w:u w:val="none"/>
              </w:rPr>
              <w:t>Date</w:t>
            </w:r>
          </w:p>
        </w:tc>
        <w:tc>
          <w:tcPr>
            <w:tcW w:w="3178" w:type="dxa"/>
          </w:tcPr>
          <w:p w:rsidR="00D274F3" w:rsidRDefault="00D274F3" w:rsidP="007B44D0">
            <w:pPr>
              <w:pStyle w:val="Heading7"/>
              <w:rPr>
                <w:rFonts w:ascii="Arial" w:hAnsi="Arial"/>
                <w:u w:val="none"/>
              </w:rPr>
            </w:pPr>
            <w:r>
              <w:rPr>
                <w:rFonts w:ascii="Arial" w:hAnsi="Arial"/>
                <w:u w:val="none"/>
              </w:rPr>
              <w:t>Contact/Tel</w:t>
            </w:r>
          </w:p>
        </w:tc>
      </w:tr>
      <w:tr w:rsidR="00D274F3" w:rsidTr="007B44D0">
        <w:trPr>
          <w:gridBefore w:val="1"/>
          <w:gridAfter w:val="1"/>
          <w:wBefore w:w="34" w:type="dxa"/>
          <w:wAfter w:w="567" w:type="dxa"/>
        </w:trPr>
        <w:tc>
          <w:tcPr>
            <w:tcW w:w="3227" w:type="dxa"/>
            <w:gridSpan w:val="2"/>
          </w:tcPr>
          <w:p w:rsidR="00D274F3" w:rsidRDefault="00D274F3" w:rsidP="007B44D0"/>
        </w:tc>
        <w:tc>
          <w:tcPr>
            <w:tcW w:w="2775" w:type="dxa"/>
            <w:gridSpan w:val="2"/>
          </w:tcPr>
          <w:p w:rsidR="00D274F3" w:rsidRDefault="00D274F3" w:rsidP="007B44D0"/>
        </w:tc>
        <w:tc>
          <w:tcPr>
            <w:tcW w:w="3178" w:type="dxa"/>
          </w:tcPr>
          <w:p w:rsidR="00D274F3" w:rsidRDefault="00D274F3" w:rsidP="007B44D0"/>
        </w:tc>
      </w:tr>
      <w:tr w:rsidR="00D274F3" w:rsidTr="007B4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gridSpan w:val="2"/>
            <w:tcBorders>
              <w:top w:val="nil"/>
              <w:left w:val="nil"/>
              <w:bottom w:val="nil"/>
              <w:right w:val="nil"/>
            </w:tcBorders>
            <w:shd w:val="clear" w:color="auto" w:fill="auto"/>
          </w:tcPr>
          <w:p w:rsidR="00D274F3" w:rsidRDefault="00D274F3" w:rsidP="007B44D0">
            <w:r>
              <w:t>Fair Society, Healthy Lives, Marmot</w:t>
            </w:r>
          </w:p>
        </w:tc>
        <w:tc>
          <w:tcPr>
            <w:tcW w:w="1418" w:type="dxa"/>
            <w:gridSpan w:val="2"/>
            <w:tcBorders>
              <w:top w:val="nil"/>
              <w:left w:val="nil"/>
              <w:bottom w:val="nil"/>
              <w:right w:val="nil"/>
            </w:tcBorders>
            <w:shd w:val="clear" w:color="auto" w:fill="auto"/>
          </w:tcPr>
          <w:p w:rsidR="00D274F3" w:rsidRDefault="00D274F3" w:rsidP="007B44D0">
            <w:r>
              <w:t>2010</w:t>
            </w:r>
          </w:p>
          <w:p w:rsidR="00D274F3" w:rsidRDefault="00D274F3" w:rsidP="007B44D0"/>
        </w:tc>
        <w:tc>
          <w:tcPr>
            <w:tcW w:w="5244" w:type="dxa"/>
            <w:gridSpan w:val="3"/>
            <w:tcBorders>
              <w:top w:val="nil"/>
              <w:left w:val="nil"/>
              <w:bottom w:val="nil"/>
              <w:right w:val="nil"/>
            </w:tcBorders>
            <w:shd w:val="clear" w:color="auto" w:fill="auto"/>
          </w:tcPr>
          <w:p w:rsidR="00D274F3" w:rsidRDefault="00C74684" w:rsidP="007B44D0">
            <w:hyperlink r:id="rId8" w:history="1">
              <w:r w:rsidR="00D274F3" w:rsidRPr="00E35DFF">
                <w:rPr>
                  <w:rStyle w:val="Hyperlink"/>
                </w:rPr>
                <w:t>http://www.instituteofhealthequity.org/projects/fair-society-healthy-lives-the-marmot-review</w:t>
              </w:r>
            </w:hyperlink>
          </w:p>
          <w:p w:rsidR="00D274F3" w:rsidRDefault="00D274F3" w:rsidP="007B44D0"/>
        </w:tc>
      </w:tr>
      <w:tr w:rsidR="00D274F3" w:rsidTr="007B4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gridSpan w:val="2"/>
            <w:tcBorders>
              <w:top w:val="nil"/>
              <w:left w:val="nil"/>
              <w:bottom w:val="nil"/>
              <w:right w:val="nil"/>
            </w:tcBorders>
            <w:shd w:val="clear" w:color="auto" w:fill="auto"/>
          </w:tcPr>
          <w:p w:rsidR="00D274F3" w:rsidRPr="00E35DFF"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E35DFF">
              <w:rPr>
                <w:rFonts w:ascii="Arial" w:hAnsi="Arial" w:cs="Arial"/>
                <w:sz w:val="24"/>
                <w:szCs w:val="24"/>
              </w:rPr>
              <w:t>The Foundation Years, Preventing poor children becoming poor adults</w:t>
            </w:r>
          </w:p>
          <w:p w:rsidR="00D274F3" w:rsidRPr="00E35DFF"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E35DFF">
              <w:rPr>
                <w:rFonts w:ascii="Arial" w:hAnsi="Arial" w:cs="Arial"/>
                <w:sz w:val="24"/>
                <w:szCs w:val="24"/>
              </w:rPr>
              <w:t xml:space="preserve">Frank Field MP </w:t>
            </w:r>
          </w:p>
          <w:p w:rsidR="00D274F3" w:rsidRDefault="00D274F3" w:rsidP="007B44D0"/>
        </w:tc>
        <w:tc>
          <w:tcPr>
            <w:tcW w:w="1418" w:type="dxa"/>
            <w:gridSpan w:val="2"/>
            <w:tcBorders>
              <w:top w:val="nil"/>
              <w:left w:val="nil"/>
              <w:bottom w:val="nil"/>
              <w:right w:val="nil"/>
            </w:tcBorders>
            <w:shd w:val="clear" w:color="auto" w:fill="auto"/>
          </w:tcPr>
          <w:p w:rsidR="00D274F3" w:rsidRDefault="00D274F3" w:rsidP="007B44D0">
            <w:r w:rsidRPr="00E35DFF">
              <w:rPr>
                <w:rFonts w:cs="Arial"/>
                <w:szCs w:val="24"/>
              </w:rPr>
              <w:t>2010</w:t>
            </w:r>
          </w:p>
        </w:tc>
        <w:tc>
          <w:tcPr>
            <w:tcW w:w="5244" w:type="dxa"/>
            <w:gridSpan w:val="3"/>
            <w:tcBorders>
              <w:top w:val="nil"/>
              <w:left w:val="nil"/>
              <w:bottom w:val="nil"/>
              <w:right w:val="nil"/>
            </w:tcBorders>
            <w:shd w:val="clear" w:color="auto" w:fill="auto"/>
          </w:tcPr>
          <w:p w:rsidR="00D274F3" w:rsidRDefault="00C74684" w:rsidP="007B44D0">
            <w:hyperlink r:id="rId9" w:history="1">
              <w:r w:rsidR="00D274F3" w:rsidRPr="00E35DFF">
                <w:rPr>
                  <w:rStyle w:val="Hyperlink"/>
                </w:rPr>
                <w:t>http://webarchive.nationalarchives.gov.uk/20110120090128/http:/povertyreview.independent.gov.uk/media/20254/poverty-report.pdf</w:t>
              </w:r>
            </w:hyperlink>
            <w:r w:rsidR="00D274F3">
              <w:t xml:space="preserve"> </w:t>
            </w:r>
          </w:p>
        </w:tc>
      </w:tr>
      <w:tr w:rsidR="00D274F3" w:rsidTr="007B4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gridSpan w:val="2"/>
            <w:tcBorders>
              <w:top w:val="nil"/>
              <w:left w:val="nil"/>
              <w:bottom w:val="nil"/>
              <w:right w:val="nil"/>
            </w:tcBorders>
            <w:shd w:val="clear" w:color="auto" w:fill="auto"/>
          </w:tcPr>
          <w:p w:rsidR="00D274F3" w:rsidRDefault="00D274F3" w:rsidP="007B44D0">
            <w:pPr>
              <w:pStyle w:val="ListParagraph"/>
              <w:autoSpaceDE w:val="0"/>
              <w:autoSpaceDN w:val="0"/>
              <w:adjustRightInd w:val="0"/>
              <w:spacing w:after="0" w:line="240" w:lineRule="auto"/>
              <w:ind w:left="0" w:right="-23"/>
            </w:pPr>
            <w:r w:rsidRPr="00E35DFF">
              <w:rPr>
                <w:rFonts w:ascii="Arial" w:hAnsi="Arial" w:cs="Arial"/>
                <w:sz w:val="24"/>
                <w:szCs w:val="24"/>
              </w:rPr>
              <w:t xml:space="preserve">The Early Years, Foundation for life, health and learning – Tickell </w:t>
            </w:r>
          </w:p>
        </w:tc>
        <w:tc>
          <w:tcPr>
            <w:tcW w:w="1418" w:type="dxa"/>
            <w:gridSpan w:val="2"/>
            <w:tcBorders>
              <w:top w:val="nil"/>
              <w:left w:val="nil"/>
              <w:bottom w:val="nil"/>
              <w:right w:val="nil"/>
            </w:tcBorders>
            <w:shd w:val="clear" w:color="auto" w:fill="auto"/>
          </w:tcPr>
          <w:p w:rsidR="00D274F3" w:rsidRDefault="00D274F3" w:rsidP="007B44D0">
            <w:r>
              <w:t>2011</w:t>
            </w:r>
          </w:p>
        </w:tc>
        <w:tc>
          <w:tcPr>
            <w:tcW w:w="5244" w:type="dxa"/>
            <w:gridSpan w:val="3"/>
            <w:tcBorders>
              <w:top w:val="nil"/>
              <w:left w:val="nil"/>
              <w:bottom w:val="nil"/>
              <w:right w:val="nil"/>
            </w:tcBorders>
            <w:shd w:val="clear" w:color="auto" w:fill="auto"/>
          </w:tcPr>
          <w:p w:rsidR="00D274F3" w:rsidRDefault="00C74684" w:rsidP="007B44D0">
            <w:hyperlink r:id="rId10" w:history="1">
              <w:r w:rsidR="00D274F3" w:rsidRPr="00E35DFF">
                <w:rPr>
                  <w:rStyle w:val="Hyperlink"/>
                </w:rPr>
                <w:t>https://www.gov.uk/government/publications/the-early-years-foundations-for-life-health-and-learning-an-independent-report-on-the-early-years-foundation-stage-to-her-majestys-government</w:t>
              </w:r>
            </w:hyperlink>
            <w:r w:rsidR="00D274F3">
              <w:t xml:space="preserve"> </w:t>
            </w:r>
          </w:p>
        </w:tc>
      </w:tr>
      <w:tr w:rsidR="00D274F3" w:rsidTr="007B4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gridSpan w:val="2"/>
            <w:tcBorders>
              <w:top w:val="nil"/>
              <w:left w:val="nil"/>
              <w:bottom w:val="nil"/>
              <w:right w:val="nil"/>
            </w:tcBorders>
            <w:shd w:val="clear" w:color="auto" w:fill="auto"/>
          </w:tcPr>
          <w:p w:rsidR="00D274F3" w:rsidRPr="00E35DFF"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E35DFF">
              <w:rPr>
                <w:rFonts w:ascii="Arial" w:hAnsi="Arial" w:cs="Arial"/>
                <w:sz w:val="24"/>
                <w:szCs w:val="24"/>
              </w:rPr>
              <w:t xml:space="preserve">Early Intervention, The next steps, Graham Allen MP </w:t>
            </w:r>
          </w:p>
          <w:p w:rsidR="00D274F3" w:rsidRDefault="00D274F3" w:rsidP="007B44D0"/>
        </w:tc>
        <w:tc>
          <w:tcPr>
            <w:tcW w:w="1418" w:type="dxa"/>
            <w:gridSpan w:val="2"/>
            <w:tcBorders>
              <w:top w:val="nil"/>
              <w:left w:val="nil"/>
              <w:bottom w:val="nil"/>
              <w:right w:val="nil"/>
            </w:tcBorders>
            <w:shd w:val="clear" w:color="auto" w:fill="auto"/>
          </w:tcPr>
          <w:p w:rsidR="00D274F3" w:rsidRDefault="00D274F3" w:rsidP="007B44D0">
            <w:r w:rsidRPr="00E35DFF">
              <w:rPr>
                <w:rFonts w:cs="Arial"/>
                <w:szCs w:val="24"/>
              </w:rPr>
              <w:t>2011</w:t>
            </w:r>
          </w:p>
        </w:tc>
        <w:tc>
          <w:tcPr>
            <w:tcW w:w="5244" w:type="dxa"/>
            <w:gridSpan w:val="3"/>
            <w:tcBorders>
              <w:top w:val="nil"/>
              <w:left w:val="nil"/>
              <w:bottom w:val="nil"/>
              <w:right w:val="nil"/>
            </w:tcBorders>
            <w:shd w:val="clear" w:color="auto" w:fill="auto"/>
          </w:tcPr>
          <w:p w:rsidR="00D274F3" w:rsidRDefault="00C74684" w:rsidP="007B44D0">
            <w:hyperlink r:id="rId11" w:history="1">
              <w:r w:rsidR="00D274F3" w:rsidRPr="00E35DFF">
                <w:rPr>
                  <w:rStyle w:val="Hyperlink"/>
                </w:rPr>
                <w:t>https://www.gov.uk/government/publications/early-intervention-the-next-steps--2</w:t>
              </w:r>
            </w:hyperlink>
            <w:r w:rsidR="00D274F3">
              <w:t xml:space="preserve"> </w:t>
            </w:r>
          </w:p>
        </w:tc>
      </w:tr>
      <w:tr w:rsidR="00D274F3" w:rsidTr="007B4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gridSpan w:val="2"/>
            <w:tcBorders>
              <w:top w:val="nil"/>
              <w:left w:val="nil"/>
              <w:bottom w:val="nil"/>
              <w:right w:val="nil"/>
            </w:tcBorders>
            <w:shd w:val="clear" w:color="auto" w:fill="auto"/>
          </w:tcPr>
          <w:p w:rsidR="00D274F3" w:rsidRPr="00E35DFF" w:rsidRDefault="00D274F3" w:rsidP="007B44D0">
            <w:pPr>
              <w:pStyle w:val="ListParagraph"/>
              <w:autoSpaceDE w:val="0"/>
              <w:autoSpaceDN w:val="0"/>
              <w:adjustRightInd w:val="0"/>
              <w:spacing w:after="0" w:line="240" w:lineRule="auto"/>
              <w:ind w:left="0" w:right="-23"/>
              <w:rPr>
                <w:rFonts w:ascii="Arial" w:hAnsi="Arial" w:cs="Arial"/>
                <w:sz w:val="24"/>
                <w:szCs w:val="24"/>
              </w:rPr>
            </w:pPr>
            <w:r w:rsidRPr="00E35DFF">
              <w:rPr>
                <w:rFonts w:ascii="Arial" w:hAnsi="Arial" w:cs="Arial"/>
                <w:sz w:val="24"/>
                <w:szCs w:val="24"/>
              </w:rPr>
              <w:lastRenderedPageBreak/>
              <w:t xml:space="preserve">Review of Child Protection, Munro </w:t>
            </w:r>
          </w:p>
          <w:p w:rsidR="00D274F3" w:rsidRDefault="00D274F3" w:rsidP="007B44D0"/>
        </w:tc>
        <w:tc>
          <w:tcPr>
            <w:tcW w:w="1418" w:type="dxa"/>
            <w:gridSpan w:val="2"/>
            <w:tcBorders>
              <w:top w:val="nil"/>
              <w:left w:val="nil"/>
              <w:bottom w:val="nil"/>
              <w:right w:val="nil"/>
            </w:tcBorders>
            <w:shd w:val="clear" w:color="auto" w:fill="auto"/>
          </w:tcPr>
          <w:p w:rsidR="00D274F3" w:rsidRDefault="00D274F3" w:rsidP="007B44D0">
            <w:r w:rsidRPr="00E35DFF">
              <w:rPr>
                <w:rFonts w:cs="Arial"/>
                <w:szCs w:val="24"/>
              </w:rPr>
              <w:t>2011</w:t>
            </w:r>
          </w:p>
        </w:tc>
        <w:tc>
          <w:tcPr>
            <w:tcW w:w="5244" w:type="dxa"/>
            <w:gridSpan w:val="3"/>
            <w:tcBorders>
              <w:top w:val="nil"/>
              <w:left w:val="nil"/>
              <w:bottom w:val="nil"/>
              <w:right w:val="nil"/>
            </w:tcBorders>
            <w:shd w:val="clear" w:color="auto" w:fill="auto"/>
          </w:tcPr>
          <w:p w:rsidR="00D274F3" w:rsidRDefault="00C74684" w:rsidP="007B44D0">
            <w:hyperlink r:id="rId12" w:history="1">
              <w:r w:rsidR="00D274F3" w:rsidRPr="00E35DFF">
                <w:rPr>
                  <w:rStyle w:val="Hyperlink"/>
                </w:rPr>
                <w:t>https://www.gov.uk/government/publications/munro-review-of-child-protection-final-report-a-child-centred-system</w:t>
              </w:r>
            </w:hyperlink>
            <w:r w:rsidR="00D274F3">
              <w:t xml:space="preserve"> </w:t>
            </w:r>
          </w:p>
        </w:tc>
      </w:tr>
      <w:tr w:rsidR="00D274F3" w:rsidTr="007B4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gridSpan w:val="2"/>
            <w:tcBorders>
              <w:top w:val="nil"/>
              <w:left w:val="nil"/>
              <w:bottom w:val="nil"/>
              <w:right w:val="nil"/>
            </w:tcBorders>
            <w:shd w:val="clear" w:color="auto" w:fill="auto"/>
          </w:tcPr>
          <w:p w:rsidR="00D274F3" w:rsidRDefault="00D274F3" w:rsidP="007B44D0">
            <w:r>
              <w:t>Lancashire County Council Corporate Strategy</w:t>
            </w:r>
          </w:p>
        </w:tc>
        <w:tc>
          <w:tcPr>
            <w:tcW w:w="1418" w:type="dxa"/>
            <w:gridSpan w:val="2"/>
            <w:tcBorders>
              <w:top w:val="nil"/>
              <w:left w:val="nil"/>
              <w:bottom w:val="nil"/>
              <w:right w:val="nil"/>
            </w:tcBorders>
            <w:shd w:val="clear" w:color="auto" w:fill="auto"/>
          </w:tcPr>
          <w:p w:rsidR="00D274F3" w:rsidRDefault="00D274F3" w:rsidP="007B44D0">
            <w:r>
              <w:t>2015</w:t>
            </w:r>
          </w:p>
        </w:tc>
        <w:tc>
          <w:tcPr>
            <w:tcW w:w="5244" w:type="dxa"/>
            <w:gridSpan w:val="3"/>
            <w:tcBorders>
              <w:top w:val="nil"/>
              <w:left w:val="nil"/>
              <w:bottom w:val="nil"/>
              <w:right w:val="nil"/>
            </w:tcBorders>
            <w:shd w:val="clear" w:color="auto" w:fill="auto"/>
          </w:tcPr>
          <w:p w:rsidR="00D274F3" w:rsidRPr="00E35DFF" w:rsidRDefault="00C74684" w:rsidP="007B44D0">
            <w:pPr>
              <w:pStyle w:val="PlainText"/>
              <w:rPr>
                <w:rFonts w:ascii="Arial" w:hAnsi="Arial" w:cs="Arial"/>
                <w:sz w:val="24"/>
                <w:szCs w:val="24"/>
                <w:highlight w:val="yellow"/>
              </w:rPr>
            </w:pPr>
            <w:hyperlink r:id="rId13" w:history="1">
              <w:r w:rsidR="00D274F3" w:rsidRPr="004930CC">
                <w:rPr>
                  <w:rStyle w:val="Hyperlink"/>
                  <w:rFonts w:ascii="Arial" w:hAnsi="Arial" w:cs="Arial"/>
                  <w:sz w:val="24"/>
                  <w:szCs w:val="24"/>
                </w:rPr>
                <w:t>http://lccintranet/corporate/staff_notices/main.asp?id=2015/08/19/79639&amp;news=479&amp;page=pr&amp;_&amp;top5=y</w:t>
              </w:r>
            </w:hyperlink>
          </w:p>
        </w:tc>
      </w:tr>
      <w:tr w:rsidR="00D274F3" w:rsidTr="007B44D0">
        <w:trPr>
          <w:gridBefore w:val="1"/>
          <w:gridAfter w:val="1"/>
          <w:wBefore w:w="34" w:type="dxa"/>
          <w:wAfter w:w="567" w:type="dxa"/>
        </w:trPr>
        <w:tc>
          <w:tcPr>
            <w:tcW w:w="9180" w:type="dxa"/>
            <w:gridSpan w:val="5"/>
          </w:tcPr>
          <w:p w:rsidR="00D274F3" w:rsidRDefault="00D274F3" w:rsidP="007B44D0">
            <w:pPr>
              <w:pStyle w:val="Heading7"/>
              <w:rPr>
                <w:rFonts w:ascii="Arial" w:hAnsi="Arial"/>
                <w:u w:val="none"/>
              </w:rPr>
            </w:pPr>
          </w:p>
          <w:p w:rsidR="00D274F3" w:rsidRDefault="00D274F3" w:rsidP="007B44D0">
            <w:pPr>
              <w:pStyle w:val="Heading7"/>
              <w:rPr>
                <w:rFonts w:ascii="Arial" w:hAnsi="Arial"/>
                <w:u w:val="none"/>
              </w:rPr>
            </w:pPr>
            <w:r>
              <w:rPr>
                <w:rFonts w:ascii="Arial" w:hAnsi="Arial"/>
                <w:u w:val="none"/>
              </w:rPr>
              <w:t>Reason for inclusion in Part II, if appropriate</w:t>
            </w:r>
          </w:p>
          <w:p w:rsidR="00D274F3" w:rsidRDefault="00D274F3" w:rsidP="007B44D0"/>
          <w:p w:rsidR="00D274F3" w:rsidRDefault="00D274F3" w:rsidP="007B44D0">
            <w:r>
              <w:t>N/A</w:t>
            </w:r>
          </w:p>
        </w:tc>
      </w:tr>
    </w:tbl>
    <w:p w:rsidR="000A16E7" w:rsidRDefault="000A16E7"/>
    <w:sectPr w:rsidR="000A16E7">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84" w:rsidRDefault="00C74684" w:rsidP="00C74684">
      <w:r>
        <w:separator/>
      </w:r>
    </w:p>
  </w:endnote>
  <w:endnote w:type="continuationSeparator" w:id="0">
    <w:p w:rsidR="00C74684" w:rsidRDefault="00C74684" w:rsidP="00C7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84" w:rsidRDefault="00C74684" w:rsidP="00C74684">
    <w:pPr>
      <w:pStyle w:val="Footer"/>
      <w:jc w:val="right"/>
    </w:pPr>
    <w:r>
      <w:rPr>
        <w:noProof/>
      </w:rPr>
      <w:drawing>
        <wp:inline distT="0" distB="0" distL="0" distR="0" wp14:anchorId="6F207850" wp14:editId="4BB487DA">
          <wp:extent cx="1257300" cy="624840"/>
          <wp:effectExtent l="0" t="0" r="0" b="381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4840"/>
                  </a:xfrm>
                  <a:prstGeom prst="rect">
                    <a:avLst/>
                  </a:prstGeom>
                  <a:noFill/>
                  <a:ln>
                    <a:noFill/>
                  </a:ln>
                </pic:spPr>
              </pic:pic>
            </a:graphicData>
          </a:graphic>
        </wp:inline>
      </w:drawing>
    </w:r>
  </w:p>
  <w:p w:rsidR="00C74684" w:rsidRDefault="00C74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84" w:rsidRDefault="00C74684" w:rsidP="00C74684">
    <w:pPr>
      <w:pStyle w:val="Footer"/>
      <w:jc w:val="right"/>
    </w:pPr>
  </w:p>
  <w:p w:rsidR="00C74684" w:rsidRDefault="00C74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84" w:rsidRDefault="00C74684" w:rsidP="00C74684">
      <w:r>
        <w:separator/>
      </w:r>
    </w:p>
  </w:footnote>
  <w:footnote w:type="continuationSeparator" w:id="0">
    <w:p w:rsidR="00C74684" w:rsidRDefault="00C74684" w:rsidP="00C74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B25"/>
    <w:multiLevelType w:val="hybridMultilevel"/>
    <w:tmpl w:val="F7F6336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1573B9A"/>
    <w:multiLevelType w:val="hybridMultilevel"/>
    <w:tmpl w:val="E402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468FB"/>
    <w:multiLevelType w:val="hybridMultilevel"/>
    <w:tmpl w:val="87BCC3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66995"/>
    <w:multiLevelType w:val="hybridMultilevel"/>
    <w:tmpl w:val="A0F429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320B0651"/>
    <w:multiLevelType w:val="hybridMultilevel"/>
    <w:tmpl w:val="E014E4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8D46ACC"/>
    <w:multiLevelType w:val="hybridMultilevel"/>
    <w:tmpl w:val="CE30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018D3"/>
    <w:multiLevelType w:val="hybridMultilevel"/>
    <w:tmpl w:val="058C2A4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5EA36B89"/>
    <w:multiLevelType w:val="hybridMultilevel"/>
    <w:tmpl w:val="9A00708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15:restartNumberingAfterBreak="0">
    <w:nsid w:val="5EBE5BFA"/>
    <w:multiLevelType w:val="hybridMultilevel"/>
    <w:tmpl w:val="7C2654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6814083D"/>
    <w:multiLevelType w:val="hybridMultilevel"/>
    <w:tmpl w:val="E23CB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B87A61"/>
    <w:multiLevelType w:val="hybridMultilevel"/>
    <w:tmpl w:val="5DB0B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4929FE"/>
    <w:multiLevelType w:val="hybridMultilevel"/>
    <w:tmpl w:val="5852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9"/>
  </w:num>
  <w:num w:numId="5">
    <w:abstractNumId w:val="3"/>
  </w:num>
  <w:num w:numId="6">
    <w:abstractNumId w:val="0"/>
  </w:num>
  <w:num w:numId="7">
    <w:abstractNumId w:val="7"/>
  </w:num>
  <w:num w:numId="8">
    <w:abstractNumId w:val="8"/>
  </w:num>
  <w:num w:numId="9">
    <w:abstractNumId w:val="4"/>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F3"/>
    <w:rsid w:val="000064CE"/>
    <w:rsid w:val="00015165"/>
    <w:rsid w:val="00024F37"/>
    <w:rsid w:val="0002531B"/>
    <w:rsid w:val="00025744"/>
    <w:rsid w:val="0003304F"/>
    <w:rsid w:val="00035CA9"/>
    <w:rsid w:val="000402AB"/>
    <w:rsid w:val="00056C26"/>
    <w:rsid w:val="00066157"/>
    <w:rsid w:val="000A16E7"/>
    <w:rsid w:val="000B64D3"/>
    <w:rsid w:val="000B6A6D"/>
    <w:rsid w:val="000C1D23"/>
    <w:rsid w:val="000C6E73"/>
    <w:rsid w:val="000E5735"/>
    <w:rsid w:val="00101AF9"/>
    <w:rsid w:val="00101BDD"/>
    <w:rsid w:val="00101DBF"/>
    <w:rsid w:val="001042FF"/>
    <w:rsid w:val="00110C30"/>
    <w:rsid w:val="00115375"/>
    <w:rsid w:val="00117ED7"/>
    <w:rsid w:val="00130B59"/>
    <w:rsid w:val="001330DF"/>
    <w:rsid w:val="00141C8D"/>
    <w:rsid w:val="00143944"/>
    <w:rsid w:val="00152DA7"/>
    <w:rsid w:val="0016786B"/>
    <w:rsid w:val="001872DB"/>
    <w:rsid w:val="00193C2E"/>
    <w:rsid w:val="001A0EDB"/>
    <w:rsid w:val="001B0FBE"/>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31E0"/>
    <w:rsid w:val="003F7831"/>
    <w:rsid w:val="0040160D"/>
    <w:rsid w:val="0041661E"/>
    <w:rsid w:val="0041709F"/>
    <w:rsid w:val="00420758"/>
    <w:rsid w:val="00421C64"/>
    <w:rsid w:val="0043378D"/>
    <w:rsid w:val="00454A8A"/>
    <w:rsid w:val="00460135"/>
    <w:rsid w:val="004701D9"/>
    <w:rsid w:val="0047792C"/>
    <w:rsid w:val="00496330"/>
    <w:rsid w:val="004B5FDB"/>
    <w:rsid w:val="004D1A3C"/>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6A26"/>
    <w:rsid w:val="007866C6"/>
    <w:rsid w:val="00792A88"/>
    <w:rsid w:val="007A1FBA"/>
    <w:rsid w:val="007A23D4"/>
    <w:rsid w:val="007B0BFA"/>
    <w:rsid w:val="007B6195"/>
    <w:rsid w:val="007C79FF"/>
    <w:rsid w:val="007E3B2E"/>
    <w:rsid w:val="007E5B43"/>
    <w:rsid w:val="007E7145"/>
    <w:rsid w:val="007F6A8E"/>
    <w:rsid w:val="00800ADE"/>
    <w:rsid w:val="00801FFE"/>
    <w:rsid w:val="00811240"/>
    <w:rsid w:val="00816262"/>
    <w:rsid w:val="008273C1"/>
    <w:rsid w:val="00837E95"/>
    <w:rsid w:val="00842CC2"/>
    <w:rsid w:val="008442A1"/>
    <w:rsid w:val="00851BF9"/>
    <w:rsid w:val="0086280F"/>
    <w:rsid w:val="00864A2A"/>
    <w:rsid w:val="00885EF4"/>
    <w:rsid w:val="008B1C85"/>
    <w:rsid w:val="008B6BB1"/>
    <w:rsid w:val="008C1511"/>
    <w:rsid w:val="009142FC"/>
    <w:rsid w:val="00915AEE"/>
    <w:rsid w:val="00936CB3"/>
    <w:rsid w:val="00943D88"/>
    <w:rsid w:val="00947234"/>
    <w:rsid w:val="00980B19"/>
    <w:rsid w:val="009940F7"/>
    <w:rsid w:val="009A4E75"/>
    <w:rsid w:val="009A66E0"/>
    <w:rsid w:val="009C0FB7"/>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4EB7"/>
    <w:rsid w:val="00A95C73"/>
    <w:rsid w:val="00AB5FA2"/>
    <w:rsid w:val="00AC04E8"/>
    <w:rsid w:val="00AC429F"/>
    <w:rsid w:val="00AD357B"/>
    <w:rsid w:val="00AD3D80"/>
    <w:rsid w:val="00AE743E"/>
    <w:rsid w:val="00AE7CD8"/>
    <w:rsid w:val="00B0146B"/>
    <w:rsid w:val="00B0201F"/>
    <w:rsid w:val="00B322BD"/>
    <w:rsid w:val="00B3283F"/>
    <w:rsid w:val="00B34E46"/>
    <w:rsid w:val="00B435B3"/>
    <w:rsid w:val="00B536D6"/>
    <w:rsid w:val="00B56A6A"/>
    <w:rsid w:val="00B621C8"/>
    <w:rsid w:val="00B76F1A"/>
    <w:rsid w:val="00B77072"/>
    <w:rsid w:val="00B8537C"/>
    <w:rsid w:val="00B87228"/>
    <w:rsid w:val="00B9183C"/>
    <w:rsid w:val="00BA429A"/>
    <w:rsid w:val="00BA5C9F"/>
    <w:rsid w:val="00BA629E"/>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74684"/>
    <w:rsid w:val="00C811EB"/>
    <w:rsid w:val="00CC26B2"/>
    <w:rsid w:val="00CD001F"/>
    <w:rsid w:val="00CD1A16"/>
    <w:rsid w:val="00CF30E2"/>
    <w:rsid w:val="00CF52EE"/>
    <w:rsid w:val="00CF5EDD"/>
    <w:rsid w:val="00CF7A08"/>
    <w:rsid w:val="00D15482"/>
    <w:rsid w:val="00D2702C"/>
    <w:rsid w:val="00D274F3"/>
    <w:rsid w:val="00D3470B"/>
    <w:rsid w:val="00D632B1"/>
    <w:rsid w:val="00D63624"/>
    <w:rsid w:val="00D644C0"/>
    <w:rsid w:val="00D7351A"/>
    <w:rsid w:val="00D7475B"/>
    <w:rsid w:val="00D75B9C"/>
    <w:rsid w:val="00D95444"/>
    <w:rsid w:val="00DA6C83"/>
    <w:rsid w:val="00DC1AC2"/>
    <w:rsid w:val="00DE5563"/>
    <w:rsid w:val="00DF2095"/>
    <w:rsid w:val="00E00CA6"/>
    <w:rsid w:val="00E0137B"/>
    <w:rsid w:val="00E0289E"/>
    <w:rsid w:val="00E133D4"/>
    <w:rsid w:val="00E163CE"/>
    <w:rsid w:val="00E22003"/>
    <w:rsid w:val="00E30108"/>
    <w:rsid w:val="00E352CD"/>
    <w:rsid w:val="00E37A57"/>
    <w:rsid w:val="00E4667E"/>
    <w:rsid w:val="00E46B1D"/>
    <w:rsid w:val="00E502EF"/>
    <w:rsid w:val="00E540A6"/>
    <w:rsid w:val="00E552E1"/>
    <w:rsid w:val="00E67D5D"/>
    <w:rsid w:val="00E7498F"/>
    <w:rsid w:val="00E749CF"/>
    <w:rsid w:val="00E80610"/>
    <w:rsid w:val="00E87B52"/>
    <w:rsid w:val="00E91371"/>
    <w:rsid w:val="00EA7964"/>
    <w:rsid w:val="00EB04F9"/>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32">
          <o:proxy start="" idref="#_s1029" connectloc="2"/>
          <o:proxy end="" idref="#_s1029" connectloc="2"/>
        </o:r>
      </o:rules>
    </o:shapelayout>
  </w:shapeDefaults>
  <w:decimalSymbol w:val="."/>
  <w:listSeparator w:val=","/>
  <w15:chartTrackingRefBased/>
  <w15:docId w15:val="{A3FFA564-6B97-4D57-882E-653D51AC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F3"/>
    <w:rPr>
      <w:rFonts w:ascii="Arial" w:hAnsi="Arial"/>
      <w:sz w:val="24"/>
    </w:rPr>
  </w:style>
  <w:style w:type="paragraph" w:styleId="Heading5">
    <w:name w:val="heading 5"/>
    <w:basedOn w:val="Normal"/>
    <w:next w:val="Normal"/>
    <w:link w:val="Heading5Char"/>
    <w:qFormat/>
    <w:rsid w:val="00D274F3"/>
    <w:pPr>
      <w:keepNext/>
      <w:outlineLvl w:val="4"/>
    </w:pPr>
    <w:rPr>
      <w:rFonts w:ascii="Univers" w:hAnsi="Univers"/>
      <w:b/>
      <w:u w:val="single"/>
    </w:rPr>
  </w:style>
  <w:style w:type="paragraph" w:styleId="Heading6">
    <w:name w:val="heading 6"/>
    <w:basedOn w:val="Normal"/>
    <w:next w:val="Normal"/>
    <w:link w:val="Heading6Char"/>
    <w:qFormat/>
    <w:rsid w:val="00D274F3"/>
    <w:pPr>
      <w:keepNext/>
      <w:outlineLvl w:val="5"/>
    </w:pPr>
    <w:rPr>
      <w:rFonts w:ascii="Univers" w:hAnsi="Univers"/>
      <w:b/>
    </w:rPr>
  </w:style>
  <w:style w:type="paragraph" w:styleId="Heading7">
    <w:name w:val="heading 7"/>
    <w:basedOn w:val="Normal"/>
    <w:next w:val="Normal"/>
    <w:link w:val="Heading7Char"/>
    <w:qFormat/>
    <w:rsid w:val="00D274F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274F3"/>
    <w:rPr>
      <w:rFonts w:ascii="Univers" w:hAnsi="Univers"/>
      <w:b/>
      <w:sz w:val="24"/>
      <w:u w:val="single"/>
    </w:rPr>
  </w:style>
  <w:style w:type="character" w:customStyle="1" w:styleId="Heading6Char">
    <w:name w:val="Heading 6 Char"/>
    <w:basedOn w:val="DefaultParagraphFont"/>
    <w:link w:val="Heading6"/>
    <w:rsid w:val="00D274F3"/>
    <w:rPr>
      <w:rFonts w:ascii="Univers" w:hAnsi="Univers"/>
      <w:b/>
      <w:sz w:val="24"/>
    </w:rPr>
  </w:style>
  <w:style w:type="character" w:customStyle="1" w:styleId="Heading7Char">
    <w:name w:val="Heading 7 Char"/>
    <w:basedOn w:val="DefaultParagraphFont"/>
    <w:link w:val="Heading7"/>
    <w:rsid w:val="00D274F3"/>
    <w:rPr>
      <w:rFonts w:ascii="Univers" w:hAnsi="Univers"/>
      <w:sz w:val="24"/>
      <w:u w:val="single"/>
    </w:rPr>
  </w:style>
  <w:style w:type="paragraph" w:styleId="BodyText">
    <w:name w:val="Body Text"/>
    <w:basedOn w:val="Normal"/>
    <w:link w:val="BodyTextChar"/>
    <w:rsid w:val="00D274F3"/>
  </w:style>
  <w:style w:type="character" w:customStyle="1" w:styleId="BodyTextChar">
    <w:name w:val="Body Text Char"/>
    <w:basedOn w:val="DefaultParagraphFont"/>
    <w:link w:val="BodyText"/>
    <w:rsid w:val="00D274F3"/>
    <w:rPr>
      <w:rFonts w:ascii="Arial" w:hAnsi="Arial"/>
      <w:sz w:val="24"/>
    </w:rPr>
  </w:style>
  <w:style w:type="paragraph" w:styleId="ListParagraph">
    <w:name w:val="List Paragraph"/>
    <w:basedOn w:val="Normal"/>
    <w:uiPriority w:val="34"/>
    <w:qFormat/>
    <w:rsid w:val="00D274F3"/>
    <w:pPr>
      <w:spacing w:after="160" w:line="259" w:lineRule="auto"/>
      <w:ind w:left="720"/>
      <w:contextualSpacing/>
    </w:pPr>
    <w:rPr>
      <w:rFonts w:ascii="Calibri" w:eastAsia="Calibri" w:hAnsi="Calibri"/>
      <w:sz w:val="22"/>
      <w:szCs w:val="22"/>
      <w:lang w:eastAsia="en-US"/>
    </w:rPr>
  </w:style>
  <w:style w:type="character" w:styleId="Hyperlink">
    <w:name w:val="Hyperlink"/>
    <w:uiPriority w:val="99"/>
    <w:unhideWhenUsed/>
    <w:rsid w:val="00D274F3"/>
    <w:rPr>
      <w:color w:val="0563C1"/>
      <w:u w:val="single"/>
    </w:rPr>
  </w:style>
  <w:style w:type="paragraph" w:styleId="PlainText">
    <w:name w:val="Plain Text"/>
    <w:basedOn w:val="Normal"/>
    <w:link w:val="PlainTextChar"/>
    <w:uiPriority w:val="99"/>
    <w:unhideWhenUsed/>
    <w:rsid w:val="00D274F3"/>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D274F3"/>
    <w:rPr>
      <w:rFonts w:ascii="Calibri" w:eastAsia="Calibri" w:hAnsi="Calibri"/>
      <w:sz w:val="22"/>
      <w:szCs w:val="22"/>
      <w:lang w:eastAsia="en-US"/>
    </w:rPr>
  </w:style>
  <w:style w:type="paragraph" w:styleId="Header">
    <w:name w:val="header"/>
    <w:basedOn w:val="Normal"/>
    <w:link w:val="HeaderChar"/>
    <w:uiPriority w:val="99"/>
    <w:unhideWhenUsed/>
    <w:rsid w:val="00C74684"/>
    <w:pPr>
      <w:tabs>
        <w:tab w:val="center" w:pos="4513"/>
        <w:tab w:val="right" w:pos="9026"/>
      </w:tabs>
    </w:pPr>
  </w:style>
  <w:style w:type="character" w:customStyle="1" w:styleId="HeaderChar">
    <w:name w:val="Header Char"/>
    <w:basedOn w:val="DefaultParagraphFont"/>
    <w:link w:val="Header"/>
    <w:uiPriority w:val="99"/>
    <w:rsid w:val="00C74684"/>
    <w:rPr>
      <w:rFonts w:ascii="Arial" w:hAnsi="Arial"/>
      <w:sz w:val="24"/>
    </w:rPr>
  </w:style>
  <w:style w:type="paragraph" w:styleId="Footer">
    <w:name w:val="footer"/>
    <w:basedOn w:val="Normal"/>
    <w:link w:val="FooterChar"/>
    <w:unhideWhenUsed/>
    <w:rsid w:val="00C74684"/>
    <w:pPr>
      <w:tabs>
        <w:tab w:val="center" w:pos="4513"/>
        <w:tab w:val="right" w:pos="9026"/>
      </w:tabs>
    </w:pPr>
  </w:style>
  <w:style w:type="character" w:customStyle="1" w:styleId="FooterChar">
    <w:name w:val="Footer Char"/>
    <w:basedOn w:val="DefaultParagraphFont"/>
    <w:link w:val="Footer"/>
    <w:uiPriority w:val="99"/>
    <w:rsid w:val="00C746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eofhealthequity.org/projects/fair-society-healthy-lives-the-marmot-review" TargetMode="External"/><Relationship Id="rId13" Type="http://schemas.openxmlformats.org/officeDocument/2006/relationships/hyperlink" Target="http://lccintranet/corporate/staff_notices/main.asp?id=2015/08/19/79639&amp;news=479&amp;page=pr&amp;_&amp;top5=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v.uk/government/publications/munro-review-of-child-protection-final-report-a-child-centred-syst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arly-intervention-the-next-steps--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the-early-years-foundations-for-life-health-and-learning-an-independent-report-on-the-early-years-foundation-stage-to-her-majestys-government" TargetMode="External"/><Relationship Id="rId4" Type="http://schemas.openxmlformats.org/officeDocument/2006/relationships/webSettings" Target="webSettings.xml"/><Relationship Id="rId9" Type="http://schemas.openxmlformats.org/officeDocument/2006/relationships/hyperlink" Target="http://webarchive.nationalarchives.gov.uk/20110120090128/http:/povertyreview.independent.gov.uk/media/20254/poverty-report.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3851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Mather, Chris</cp:lastModifiedBy>
  <cp:revision>2</cp:revision>
  <dcterms:created xsi:type="dcterms:W3CDTF">2015-11-13T15:19:00Z</dcterms:created>
  <dcterms:modified xsi:type="dcterms:W3CDTF">2015-11-13T15:36:00Z</dcterms:modified>
</cp:coreProperties>
</file>